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81D89" w14:textId="77777777" w:rsidR="00077241" w:rsidRPr="001D6BFA" w:rsidRDefault="00077241" w:rsidP="0007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sz w:val="40"/>
          <w:szCs w:val="40"/>
        </w:rPr>
      </w:pPr>
      <w:r w:rsidRPr="001D6BFA">
        <w:rPr>
          <w:rFonts w:eastAsia="Times New Roman" w:cs="Times New Roman"/>
          <w:b/>
          <w:sz w:val="40"/>
          <w:szCs w:val="40"/>
        </w:rPr>
        <w:t>A Probabilistic Seismic Hazard Model for North Africa</w:t>
      </w:r>
    </w:p>
    <w:p w14:paraId="43FE0B74" w14:textId="61F6F3BE" w:rsidR="002C0BE6" w:rsidRPr="001D6BFA" w:rsidRDefault="002C0BE6"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59F1B86F" w14:textId="2CF6AEEE" w:rsidR="00077241" w:rsidRPr="006534B1"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lang w:val="it-IT"/>
        </w:rPr>
      </w:pPr>
      <w:r w:rsidRPr="006534B1">
        <w:rPr>
          <w:rFonts w:eastAsia="Times New Roman" w:cs="Times New Roman"/>
          <w:lang w:val="it-IT"/>
        </w:rPr>
        <w:t>Valerio Poggi • Julio Garcia-</w:t>
      </w:r>
      <w:proofErr w:type="spellStart"/>
      <w:r w:rsidRPr="006534B1">
        <w:rPr>
          <w:rFonts w:eastAsia="Times New Roman" w:cs="Times New Roman"/>
          <w:lang w:val="it-IT"/>
        </w:rPr>
        <w:t>Peláez</w:t>
      </w:r>
      <w:proofErr w:type="spellEnd"/>
      <w:r w:rsidRPr="006534B1">
        <w:rPr>
          <w:rFonts w:eastAsia="Times New Roman" w:cs="Times New Roman"/>
          <w:lang w:val="it-IT"/>
        </w:rPr>
        <w:t xml:space="preserve"> • Richard </w:t>
      </w:r>
      <w:proofErr w:type="spellStart"/>
      <w:r w:rsidRPr="006534B1">
        <w:rPr>
          <w:rFonts w:eastAsia="Times New Roman" w:cs="Times New Roman"/>
          <w:lang w:val="it-IT"/>
        </w:rPr>
        <w:t>Styron</w:t>
      </w:r>
      <w:proofErr w:type="spellEnd"/>
      <w:r w:rsidRPr="006534B1">
        <w:rPr>
          <w:rFonts w:eastAsia="Times New Roman" w:cs="Times New Roman"/>
          <w:lang w:val="it-IT"/>
        </w:rPr>
        <w:t xml:space="preserve"> • Marco Pagani • Robin </w:t>
      </w:r>
      <w:proofErr w:type="spellStart"/>
      <w:r w:rsidRPr="006534B1">
        <w:rPr>
          <w:rFonts w:eastAsia="Times New Roman" w:cs="Times New Roman"/>
          <w:lang w:val="it-IT"/>
        </w:rPr>
        <w:t>Gee</w:t>
      </w:r>
      <w:proofErr w:type="spellEnd"/>
    </w:p>
    <w:p w14:paraId="0EA19C1B" w14:textId="68EE81C3" w:rsidR="00077241" w:rsidRPr="006534B1"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lang w:val="it-IT"/>
        </w:rPr>
      </w:pPr>
    </w:p>
    <w:p w14:paraId="20F4FA65" w14:textId="398E5883" w:rsidR="00077241" w:rsidRPr="001D6BFA"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rPr>
      </w:pPr>
      <w:r w:rsidRPr="001D6BFA">
        <w:rPr>
          <w:rFonts w:eastAsia="Times New Roman" w:cs="Times New Roman"/>
          <w:i/>
        </w:rPr>
        <w:t>Manuscript BEEE-D-19-00544 – 1</w:t>
      </w:r>
      <w:r w:rsidRPr="001D6BFA">
        <w:rPr>
          <w:rFonts w:eastAsia="Times New Roman" w:cs="Times New Roman"/>
          <w:i/>
          <w:vertAlign w:val="superscript"/>
        </w:rPr>
        <w:t>st</w:t>
      </w:r>
      <w:r w:rsidRPr="001D6BFA">
        <w:rPr>
          <w:rFonts w:eastAsia="Times New Roman" w:cs="Times New Roman"/>
          <w:i/>
        </w:rPr>
        <w:t xml:space="preserve"> Revision</w:t>
      </w:r>
    </w:p>
    <w:p w14:paraId="303A47C9" w14:textId="46E0B7A5" w:rsidR="00077241" w:rsidRPr="001D6BFA"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5F215AD" w14:textId="77777777" w:rsidR="00077241" w:rsidRPr="001D6BFA"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5DEA4A77" w14:textId="36CDB53F" w:rsidR="002C0BE6" w:rsidRPr="001D6BFA" w:rsidRDefault="0007724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sz w:val="28"/>
          <w:szCs w:val="28"/>
        </w:rPr>
      </w:pPr>
      <w:r w:rsidRPr="001D6BFA">
        <w:rPr>
          <w:rFonts w:eastAsia="Times New Roman" w:cs="Times New Roman"/>
          <w:b/>
          <w:sz w:val="28"/>
          <w:szCs w:val="28"/>
        </w:rPr>
        <w:t>INTRODUCTION TO REVIEW REPLY</w:t>
      </w:r>
    </w:p>
    <w:p w14:paraId="6F82E8AC" w14:textId="48A648E6" w:rsidR="002C0BE6" w:rsidRPr="001D6BFA" w:rsidRDefault="002C0BE6"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AF17701" w14:textId="410FC3F7" w:rsidR="00A519E0" w:rsidRPr="001D6BFA" w:rsidRDefault="00A519E0" w:rsidP="00A519E0">
      <w:pPr>
        <w:jc w:val="both"/>
      </w:pPr>
      <w:r w:rsidRPr="001D6BFA">
        <w:t>We would first like to thank the two reviewers and the editor for their time in reviewing this manuscript and for the appreciation of our work. We found their comments very useful and fair; these gave us the chance to improve the manuscript, clarify some aspects of our research and trigger new ideas for future developments. As requested, a minor revision of the manuscript has been undertaken. All the proposed suggestions have been carefully considered and, where necessary, applied. Controversial issues have been explicitly addressed with a (hopefully) comprehensive and detailed reply, highlighting our thoughts and motivations.</w:t>
      </w:r>
    </w:p>
    <w:p w14:paraId="7BECC21F" w14:textId="3225CB95" w:rsidR="00A519E0" w:rsidRPr="001D6BFA" w:rsidRDefault="00A519E0" w:rsidP="00A519E0">
      <w:pPr>
        <w:jc w:val="both"/>
      </w:pPr>
      <w:r w:rsidRPr="001D6BFA">
        <w:t>All minor comments not directly addressed in this reply, are accepted and implemented by the authors without further discussion. Identified mistakes have been fixed. Please note that all corrections are marked in red on the manuscript, to facilitate the reviewers in the referencing.</w:t>
      </w:r>
    </w:p>
    <w:p w14:paraId="44E01054" w14:textId="77777777" w:rsidR="00A519E0" w:rsidRPr="001D6BFA" w:rsidRDefault="00A519E0" w:rsidP="00A519E0">
      <w:pPr>
        <w:jc w:val="both"/>
      </w:pPr>
    </w:p>
    <w:p w14:paraId="62DF4419" w14:textId="77777777" w:rsidR="00A519E0" w:rsidRPr="001D6BFA" w:rsidRDefault="00A519E0" w:rsidP="00A519E0">
      <w:pPr>
        <w:jc w:val="both"/>
      </w:pPr>
      <w:r w:rsidRPr="001D6BFA">
        <w:t>Legend:</w:t>
      </w:r>
    </w:p>
    <w:p w14:paraId="2A446E44" w14:textId="77777777" w:rsidR="00A519E0" w:rsidRPr="001D6BFA" w:rsidRDefault="00A519E0" w:rsidP="00A519E0">
      <w:pPr>
        <w:ind w:left="284"/>
        <w:jc w:val="both"/>
      </w:pPr>
      <w:r w:rsidRPr="001D6BFA">
        <w:rPr>
          <w:b/>
          <w:color w:val="FF6600"/>
        </w:rPr>
        <w:t>R1</w:t>
      </w:r>
      <w:r w:rsidRPr="001D6BFA">
        <w:t xml:space="preserve"> – Original comments from Reviewer #1</w:t>
      </w:r>
    </w:p>
    <w:p w14:paraId="1E46F1DC" w14:textId="77777777" w:rsidR="00A519E0" w:rsidRPr="001D6BFA" w:rsidRDefault="00A519E0" w:rsidP="00A519E0">
      <w:pPr>
        <w:ind w:left="284"/>
        <w:jc w:val="both"/>
      </w:pPr>
      <w:r w:rsidRPr="001D6BFA">
        <w:rPr>
          <w:b/>
          <w:color w:val="FF6600"/>
        </w:rPr>
        <w:t>R2</w:t>
      </w:r>
      <w:r w:rsidRPr="001D6BFA">
        <w:t xml:space="preserve"> – Original comments from Reviewer #2</w:t>
      </w:r>
    </w:p>
    <w:p w14:paraId="22B93F85" w14:textId="77777777" w:rsidR="00A519E0" w:rsidRPr="001D6BFA" w:rsidRDefault="00A519E0" w:rsidP="00A519E0">
      <w:pPr>
        <w:ind w:left="284"/>
        <w:jc w:val="both"/>
      </w:pPr>
      <w:r w:rsidRPr="001D6BFA">
        <w:rPr>
          <w:b/>
          <w:color w:val="008000"/>
        </w:rPr>
        <w:t>AR</w:t>
      </w:r>
      <w:r w:rsidRPr="001D6BFA">
        <w:t xml:space="preserve"> – Author’s reply to comments</w:t>
      </w:r>
    </w:p>
    <w:p w14:paraId="2E4789F4" w14:textId="09842CC9" w:rsidR="002C0BE6" w:rsidRPr="001D6BFA" w:rsidRDefault="002C0BE6"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2EB6D803" w14:textId="77777777" w:rsidR="002C0BE6" w:rsidRPr="001D6BFA" w:rsidRDefault="002C0BE6"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7DE9CD9" w14:textId="77777777" w:rsidR="002C0BE6" w:rsidRPr="001D6BFA" w:rsidRDefault="002C0BE6"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4F6DB8E1" w14:textId="77777777" w:rsidR="00A519E0" w:rsidRPr="001D6BFA" w:rsidRDefault="00A519E0">
      <w:pPr>
        <w:rPr>
          <w:rFonts w:eastAsia="Times New Roman" w:cs="Times New Roman"/>
          <w:b/>
        </w:rPr>
      </w:pPr>
      <w:r w:rsidRPr="001D6BFA">
        <w:rPr>
          <w:rFonts w:eastAsia="Times New Roman" w:cs="Times New Roman"/>
          <w:b/>
        </w:rPr>
        <w:br w:type="page"/>
      </w:r>
    </w:p>
    <w:p w14:paraId="3F5A7378" w14:textId="77777777" w:rsidR="00A519E0" w:rsidRPr="001D6BFA" w:rsidRDefault="00A519E0" w:rsidP="00A519E0">
      <w:pPr>
        <w:jc w:val="both"/>
        <w:rPr>
          <w:b/>
          <w:sz w:val="36"/>
          <w:szCs w:val="36"/>
        </w:rPr>
      </w:pPr>
      <w:r w:rsidRPr="001D6BFA">
        <w:rPr>
          <w:b/>
          <w:sz w:val="36"/>
          <w:szCs w:val="36"/>
        </w:rPr>
        <w:lastRenderedPageBreak/>
        <w:t>Reply to Reviewer #1 Comments</w:t>
      </w:r>
    </w:p>
    <w:p w14:paraId="4E0CC84C" w14:textId="77777777" w:rsidR="002A3DEA" w:rsidRPr="001D6BFA" w:rsidRDefault="002A3DEA"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AFCDC1E" w14:textId="0EE917B0" w:rsidR="00415CEE" w:rsidRPr="001D6BFA" w:rsidRDefault="00F32F75"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The paper represents is an important part of the global seismic hazard model developed by the GEM Foundation. The paper is generally well written (apart from some 40 missing references). I have suggested some improvements to the grammar and style in the attached annotated manuscript.</w:t>
      </w:r>
    </w:p>
    <w:p w14:paraId="68CD12E5" w14:textId="77777777" w:rsidR="00065DF1" w:rsidRPr="001D6BFA" w:rsidRDefault="00065DF1"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50E3965" w14:textId="15989FF2" w:rsidR="004765A9" w:rsidRPr="001D6BFA" w:rsidRDefault="004765A9"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008000"/>
        </w:rPr>
        <w:t>AR</w:t>
      </w:r>
      <w:r w:rsidRPr="001D6BFA">
        <w:t xml:space="preserve">: </w:t>
      </w:r>
      <w:r w:rsidR="003646F6" w:rsidRPr="001D6BFA">
        <w:t xml:space="preserve">We express our gratitude to the anonymous reviewer for the appreciation of our work. </w:t>
      </w:r>
      <w:r w:rsidRPr="001D6BFA">
        <w:t>Suggested corrections have been applied to the manuscript.</w:t>
      </w:r>
      <w:r w:rsidR="00F770C3" w:rsidRPr="001D6BFA">
        <w:t xml:space="preserve"> We apologize for the missing references</w:t>
      </w:r>
      <w:r w:rsidR="00B604E6" w:rsidRPr="001D6BFA">
        <w:t xml:space="preserve">, which is </w:t>
      </w:r>
      <w:r w:rsidR="00290DE9" w:rsidRPr="001D6BFA">
        <w:t xml:space="preserve">indeed </w:t>
      </w:r>
      <w:r w:rsidR="0015363D" w:rsidRPr="001D6BFA">
        <w:t xml:space="preserve">a remarkable mistake. </w:t>
      </w:r>
      <w:r w:rsidR="00B604E6" w:rsidRPr="001D6BFA">
        <w:t>P</w:t>
      </w:r>
      <w:r w:rsidR="00586994" w:rsidRPr="001D6BFA">
        <w:t>ossibly</w:t>
      </w:r>
      <w:r w:rsidR="00EA0E70" w:rsidRPr="001D6BFA">
        <w:t>,</w:t>
      </w:r>
      <w:r w:rsidR="00B604E6" w:rsidRPr="001D6BFA">
        <w:t xml:space="preserve"> some information went lost when assembling the contributions from co-authors.</w:t>
      </w:r>
      <w:r w:rsidR="0015363D" w:rsidRPr="001D6BFA">
        <w:t xml:space="preserve"> </w:t>
      </w:r>
      <w:r w:rsidR="00E651D2" w:rsidRPr="001D6BFA">
        <w:t>All m</w:t>
      </w:r>
      <w:r w:rsidR="0015363D" w:rsidRPr="001D6BFA">
        <w:t>issing references ha</w:t>
      </w:r>
      <w:r w:rsidR="0055138D" w:rsidRPr="001D6BFA">
        <w:t>ve</w:t>
      </w:r>
      <w:r w:rsidR="0015363D" w:rsidRPr="001D6BFA">
        <w:t xml:space="preserve"> been added and carefully checked.</w:t>
      </w:r>
    </w:p>
    <w:p w14:paraId="57DECD57"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97872DA"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1D6BFA">
        <w:rPr>
          <w:rFonts w:eastAsia="Times New Roman" w:cs="Times New Roman"/>
          <w:b/>
        </w:rPr>
        <w:t>1. Active fault database</w:t>
      </w:r>
    </w:p>
    <w:p w14:paraId="3CDAE36C"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45371FD" w14:textId="088EAAFD" w:rsidR="00415CEE" w:rsidRPr="001D6BFA" w:rsidRDefault="00F32F75"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 xml:space="preserve">This part of the study is particularly contentious. I am aware that some North African scientists are aggrieved that they were not consulted by GEM and are of the opinion that the authors of the NAF model have little knowledge of the region. I am also aware that GEM tried to establish a relationship with scientists from the region, but this broke down.  </w:t>
      </w:r>
      <w:proofErr w:type="gramStart"/>
      <w:r w:rsidR="00415CEE" w:rsidRPr="001D6BFA">
        <w:rPr>
          <w:rFonts w:eastAsia="Times New Roman" w:cs="Times New Roman"/>
        </w:rPr>
        <w:t>Thus</w:t>
      </w:r>
      <w:proofErr w:type="gramEnd"/>
      <w:r w:rsidR="00415CEE" w:rsidRPr="001D6BFA">
        <w:rPr>
          <w:rFonts w:eastAsia="Times New Roman" w:cs="Times New Roman"/>
        </w:rPr>
        <w:t xml:space="preserve"> I think that it is important that the authors indicate the degree to which their active fault database is based on field studies, especially those conducted by local scientists. </w:t>
      </w:r>
    </w:p>
    <w:p w14:paraId="0048C2E4" w14:textId="3CC71128"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466D7FEF" w14:textId="77777777" w:rsidR="004A2008" w:rsidRPr="001D6BFA" w:rsidRDefault="00E31C9E"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b/>
          <w:color w:val="00B050"/>
        </w:rPr>
        <w:t>AR:</w:t>
      </w:r>
      <w:r w:rsidR="004A2008" w:rsidRPr="001D6BFA">
        <w:rPr>
          <w:rFonts w:eastAsia="Times New Roman" w:cs="Times New Roman"/>
        </w:rPr>
        <w:t xml:space="preserve"> We have added a paragraph to the introduction to section 5 describing our reliance on published studies of faults, particularly by local experts:</w:t>
      </w:r>
    </w:p>
    <w:p w14:paraId="44CEFDDF" w14:textId="77777777" w:rsidR="00F5227D" w:rsidRPr="001D6BFA" w:rsidRDefault="00F5227D"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A7AF109" w14:textId="7044C390" w:rsidR="004A2008" w:rsidRPr="001D6BFA" w:rsidRDefault="00F5227D"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rPr>
      </w:pPr>
      <w:r w:rsidRPr="001D6BFA">
        <w:rPr>
          <w:rFonts w:eastAsia="Times New Roman" w:cs="Times New Roman"/>
          <w:i/>
        </w:rPr>
        <w:t>“</w:t>
      </w:r>
      <w:r w:rsidR="004A2008" w:rsidRPr="001D6BFA">
        <w:rPr>
          <w:rFonts w:eastAsia="Times New Roman" w:cs="Times New Roman"/>
          <w:i/>
        </w:rPr>
        <w:t>Of the ~125 active structures, about half were based directly on published work, typically field studies by local scientists.  Fault characterization based on topographic, geophysical and geodetic data was only performed when no studies for that structure were available. The majority of faults that are not based on published studies are along strike or otherwise close by the faults that have received direct investigation, and clearly share some characteristics of the studied faults. The reference information for each fault is given in the fault database.</w:t>
      </w:r>
      <w:r w:rsidRPr="001D6BFA">
        <w:rPr>
          <w:rFonts w:eastAsia="Times New Roman" w:cs="Times New Roman"/>
          <w:i/>
        </w:rPr>
        <w:t>”</w:t>
      </w:r>
    </w:p>
    <w:p w14:paraId="797D94F2"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1C80E55"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rPr>
        <w:t>(Please note that we removed 10 faults from the fault database during the model construction because we were unable to estimate slip rates on them, so there are 125 faults in the seismic source model rather than 135, although we forgot to propagate this change to the originally submitted manuscript.)</w:t>
      </w:r>
    </w:p>
    <w:p w14:paraId="52DACDFC"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2F1D2719"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rPr>
        <w:t>We have also added a paragraph that describes that we wanted collaborations but were unable to secure them:</w:t>
      </w:r>
    </w:p>
    <w:p w14:paraId="0C71A8CD"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F657538" w14:textId="69FA5758" w:rsidR="004A2008" w:rsidRPr="001D6BFA" w:rsidRDefault="006F6D8E"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rPr>
      </w:pPr>
      <w:r w:rsidRPr="001D6BFA">
        <w:rPr>
          <w:rFonts w:eastAsia="Times New Roman" w:cs="Times New Roman"/>
          <w:i/>
        </w:rPr>
        <w:t>“</w:t>
      </w:r>
      <w:r w:rsidR="004A2008" w:rsidRPr="001D6BFA">
        <w:rPr>
          <w:rFonts w:eastAsia="Times New Roman" w:cs="Times New Roman"/>
          <w:i/>
        </w:rPr>
        <w:t>We acknowledge that involvement of local scientists in the creation and maintenance of the fault database is ideal; unfortunately, we were not able to establish these collaborations within the time constraints of this project. However, we stress that the NAF seismic hazard model presented here is simply the first version, and that local scientists who wish to be involved in future iterations are strongly encouraged to contact the GEM Secretariat (hazard@globalquakemodel.org).</w:t>
      </w:r>
      <w:r w:rsidRPr="001D6BFA">
        <w:rPr>
          <w:rFonts w:eastAsia="Times New Roman" w:cs="Times New Roman"/>
          <w:i/>
        </w:rPr>
        <w:t>”</w:t>
      </w:r>
    </w:p>
    <w:p w14:paraId="724EE0BF" w14:textId="77777777" w:rsidR="004A2008"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BEA0D17" w14:textId="42360C99" w:rsidR="00E31C9E" w:rsidRPr="001D6BFA" w:rsidRDefault="004A2008" w:rsidP="004A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1D6BFA">
        <w:rPr>
          <w:rFonts w:eastAsia="Times New Roman" w:cs="Times New Roman"/>
          <w:highlight w:val="yellow"/>
        </w:rPr>
        <w:t xml:space="preserve">Because we work globally and often with short time windows for each project, it can be very difficult to identify local scientists from each region on Earth who are both willing and able to work with </w:t>
      </w:r>
      <w:r w:rsidRPr="001D6BFA">
        <w:rPr>
          <w:rFonts w:eastAsia="Times New Roman" w:cs="Times New Roman"/>
          <w:highlight w:val="yellow"/>
        </w:rPr>
        <w:lastRenderedPageBreak/>
        <w:t>GEM. In the case of North African faults, we reached out to 10-15 individuals (both North African scientists and European/American scientists with decades of work in the area), most of whom simply didn’t respond, and the others stopped responding after some time.</w:t>
      </w:r>
      <w:r w:rsidR="00E517FF">
        <w:rPr>
          <w:rFonts w:eastAsia="Times New Roman" w:cs="Times New Roman"/>
          <w:highlight w:val="yellow"/>
        </w:rPr>
        <w:t xml:space="preserve"> </w:t>
      </w:r>
      <w:r w:rsidR="00E517FF" w:rsidRPr="00AE6EF4">
        <w:rPr>
          <w:rFonts w:eastAsia="Times New Roman" w:cs="Times New Roman"/>
          <w:highlight w:val="green"/>
        </w:rPr>
        <w:t>[</w:t>
      </w:r>
      <w:r w:rsidR="00560552" w:rsidRPr="00AE6EF4">
        <w:rPr>
          <w:rFonts w:eastAsia="Times New Roman" w:cs="Times New Roman"/>
          <w:highlight w:val="green"/>
        </w:rPr>
        <w:t xml:space="preserve">IT </w:t>
      </w:r>
      <w:r w:rsidR="00E517FF" w:rsidRPr="00AE6EF4">
        <w:rPr>
          <w:rFonts w:eastAsia="Times New Roman" w:cs="Times New Roman"/>
          <w:highlight w:val="green"/>
        </w:rPr>
        <w:t>SEEMS A BIT PROVOCATIVE, DO WE WANT TO INCLUDE THIS?]</w:t>
      </w:r>
    </w:p>
    <w:p w14:paraId="61BF8233" w14:textId="77777777" w:rsidR="00E31C9E" w:rsidRPr="001D6BFA" w:rsidRDefault="00E31C9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02695F5A"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1D6BFA">
        <w:rPr>
          <w:rFonts w:eastAsia="Times New Roman" w:cs="Times New Roman"/>
          <w:b/>
        </w:rPr>
        <w:t xml:space="preserve">2. Magnitude occurrence relations and </w:t>
      </w:r>
      <w:proofErr w:type="spellStart"/>
      <w:r w:rsidRPr="001D6BFA">
        <w:rPr>
          <w:rFonts w:eastAsia="Times New Roman" w:cs="Times New Roman"/>
          <w:b/>
        </w:rPr>
        <w:t>Mmax</w:t>
      </w:r>
      <w:proofErr w:type="spellEnd"/>
    </w:p>
    <w:p w14:paraId="1F7BADDB"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6C96836" w14:textId="05B30607" w:rsidR="00415CEE" w:rsidRPr="001D6BFA" w:rsidRDefault="00A105C2"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 xml:space="preserve">I would like greater clarity on definitions and procedures. </w:t>
      </w:r>
    </w:p>
    <w:p w14:paraId="0E405E7D" w14:textId="25F8C8AC"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rPr>
        <w:t>(a) Explain the relationship between 'minimum magnitude' and 'magnitude of completeness'. Is 4.5 greater than the magnitude of completeness for all zones?</w:t>
      </w:r>
    </w:p>
    <w:p w14:paraId="56758C31" w14:textId="3F21D696"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B9F8700" w14:textId="0F2123A5" w:rsidR="006528A1" w:rsidRPr="001D6BFA" w:rsidRDefault="007707DF"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r w:rsidRPr="001D6BFA">
        <w:rPr>
          <w:rFonts w:eastAsia="Times New Roman" w:cs="Times New Roman"/>
          <w:b/>
          <w:color w:val="00B050"/>
        </w:rPr>
        <w:t>AR:</w:t>
      </w:r>
      <w:r w:rsidRPr="001D6BFA">
        <w:rPr>
          <w:rFonts w:eastAsia="Times New Roman" w:cs="Times New Roman"/>
          <w:color w:val="000000" w:themeColor="text1"/>
        </w:rPr>
        <w:t xml:space="preserve"> </w:t>
      </w:r>
      <w:r w:rsidR="00613699" w:rsidRPr="001D6BFA">
        <w:rPr>
          <w:rFonts w:eastAsia="Times New Roman" w:cs="Times New Roman"/>
          <w:color w:val="000000" w:themeColor="text1"/>
        </w:rPr>
        <w:t>Our manuscript was definitely unclear on the matter, as a</w:t>
      </w:r>
      <w:r w:rsidR="00BC1DA9" w:rsidRPr="001D6BFA">
        <w:rPr>
          <w:rFonts w:eastAsia="Times New Roman" w:cs="Times New Roman"/>
          <w:color w:val="000000" w:themeColor="text1"/>
        </w:rPr>
        <w:t xml:space="preserve"> similar issue </w:t>
      </w:r>
      <w:r w:rsidR="00613699" w:rsidRPr="001D6BFA">
        <w:rPr>
          <w:rFonts w:eastAsia="Times New Roman" w:cs="Times New Roman"/>
          <w:color w:val="000000" w:themeColor="text1"/>
        </w:rPr>
        <w:t>was</w:t>
      </w:r>
      <w:r w:rsidR="00BC1DA9" w:rsidRPr="001D6BFA">
        <w:rPr>
          <w:rFonts w:eastAsia="Times New Roman" w:cs="Times New Roman"/>
          <w:color w:val="000000" w:themeColor="text1"/>
        </w:rPr>
        <w:t xml:space="preserve"> raised </w:t>
      </w:r>
      <w:r w:rsidR="00613699" w:rsidRPr="001D6BFA">
        <w:rPr>
          <w:rFonts w:eastAsia="Times New Roman" w:cs="Times New Roman"/>
          <w:color w:val="000000" w:themeColor="text1"/>
        </w:rPr>
        <w:t xml:space="preserve">also </w:t>
      </w:r>
      <w:r w:rsidR="00BC1DA9" w:rsidRPr="001D6BFA">
        <w:rPr>
          <w:rFonts w:eastAsia="Times New Roman" w:cs="Times New Roman"/>
          <w:color w:val="000000" w:themeColor="text1"/>
        </w:rPr>
        <w:t xml:space="preserve">by the </w:t>
      </w:r>
      <w:r w:rsidR="00F0662A" w:rsidRPr="001D6BFA">
        <w:rPr>
          <w:rFonts w:eastAsia="Times New Roman" w:cs="Times New Roman"/>
          <w:color w:val="000000" w:themeColor="text1"/>
        </w:rPr>
        <w:t xml:space="preserve">second reviewer. </w:t>
      </w:r>
      <w:r w:rsidR="000A2F12" w:rsidRPr="001D6BFA">
        <w:rPr>
          <w:rFonts w:eastAsia="Times New Roman" w:cs="Times New Roman"/>
          <w:color w:val="000000" w:themeColor="text1"/>
        </w:rPr>
        <w:t xml:space="preserve">In Section 6.1.2 we </w:t>
      </w:r>
      <w:r w:rsidR="00DD0252" w:rsidRPr="001D6BFA">
        <w:rPr>
          <w:rFonts w:eastAsia="Times New Roman" w:cs="Times New Roman"/>
          <w:color w:val="000000" w:themeColor="text1"/>
        </w:rPr>
        <w:t xml:space="preserve">now better </w:t>
      </w:r>
      <w:r w:rsidR="00C023DB" w:rsidRPr="001D6BFA">
        <w:rPr>
          <w:rFonts w:eastAsia="Times New Roman" w:cs="Times New Roman"/>
          <w:color w:val="000000" w:themeColor="text1"/>
        </w:rPr>
        <w:t>describe the difference</w:t>
      </w:r>
      <w:r w:rsidR="00DD0252" w:rsidRPr="001D6BFA">
        <w:rPr>
          <w:rFonts w:eastAsia="Times New Roman" w:cs="Times New Roman"/>
          <w:color w:val="000000" w:themeColor="text1"/>
        </w:rPr>
        <w:t xml:space="preserve"> between the</w:t>
      </w:r>
      <w:r w:rsidR="000A2F12" w:rsidRPr="001D6BFA">
        <w:rPr>
          <w:rFonts w:eastAsia="Times New Roman" w:cs="Times New Roman"/>
          <w:color w:val="000000" w:themeColor="text1"/>
        </w:rPr>
        <w:t xml:space="preserve"> minimum magnitude from completeness analysis (thus variable between zones)</w:t>
      </w:r>
      <w:r w:rsidR="006E73CF" w:rsidRPr="001D6BFA">
        <w:rPr>
          <w:rFonts w:eastAsia="Times New Roman" w:cs="Times New Roman"/>
          <w:color w:val="000000" w:themeColor="text1"/>
        </w:rPr>
        <w:t>,</w:t>
      </w:r>
      <w:r w:rsidR="000A2F12" w:rsidRPr="001D6BFA">
        <w:rPr>
          <w:rFonts w:eastAsia="Times New Roman" w:cs="Times New Roman"/>
          <w:color w:val="000000" w:themeColor="text1"/>
        </w:rPr>
        <w:t xml:space="preserve"> </w:t>
      </w:r>
      <w:r w:rsidR="00F55769" w:rsidRPr="001D6BFA">
        <w:rPr>
          <w:rFonts w:eastAsia="Times New Roman" w:cs="Times New Roman"/>
          <w:color w:val="000000" w:themeColor="text1"/>
        </w:rPr>
        <w:t xml:space="preserve">used </w:t>
      </w:r>
      <w:r w:rsidR="000A2F12" w:rsidRPr="001D6BFA">
        <w:rPr>
          <w:rFonts w:eastAsia="Times New Roman" w:cs="Times New Roman"/>
          <w:color w:val="000000" w:themeColor="text1"/>
        </w:rPr>
        <w:t>for the calibration of the GR</w:t>
      </w:r>
      <w:r w:rsidR="006E73CF" w:rsidRPr="001D6BFA">
        <w:rPr>
          <w:rFonts w:eastAsia="Times New Roman" w:cs="Times New Roman"/>
          <w:color w:val="000000" w:themeColor="text1"/>
        </w:rPr>
        <w:t>,</w:t>
      </w:r>
      <w:r w:rsidR="000A2F12" w:rsidRPr="001D6BFA">
        <w:rPr>
          <w:rFonts w:eastAsia="Times New Roman" w:cs="Times New Roman"/>
          <w:color w:val="000000" w:themeColor="text1"/>
        </w:rPr>
        <w:t xml:space="preserve"> and</w:t>
      </w:r>
      <w:r w:rsidR="00F55769" w:rsidRPr="001D6BFA">
        <w:rPr>
          <w:rFonts w:eastAsia="Times New Roman" w:cs="Times New Roman"/>
          <w:color w:val="000000" w:themeColor="text1"/>
        </w:rPr>
        <w:t xml:space="preserve"> </w:t>
      </w:r>
      <w:r w:rsidR="000A2F12" w:rsidRPr="001D6BFA">
        <w:rPr>
          <w:rFonts w:eastAsia="Times New Roman" w:cs="Times New Roman"/>
          <w:color w:val="000000" w:themeColor="text1"/>
        </w:rPr>
        <w:t xml:space="preserve">the </w:t>
      </w:r>
      <w:r w:rsidR="00F55769" w:rsidRPr="001D6BFA">
        <w:rPr>
          <w:rFonts w:eastAsia="Times New Roman" w:cs="Times New Roman"/>
          <w:color w:val="000000" w:themeColor="text1"/>
        </w:rPr>
        <w:t xml:space="preserve">minimum </w:t>
      </w:r>
      <w:r w:rsidR="000A2F12" w:rsidRPr="001D6BFA">
        <w:rPr>
          <w:rFonts w:eastAsia="Times New Roman" w:cs="Times New Roman"/>
          <w:color w:val="000000" w:themeColor="text1"/>
        </w:rPr>
        <w:t>magnitude threshold</w:t>
      </w:r>
      <w:r w:rsidR="006E73CF" w:rsidRPr="001D6BFA">
        <w:rPr>
          <w:rFonts w:eastAsia="Times New Roman" w:cs="Times New Roman"/>
          <w:color w:val="000000" w:themeColor="text1"/>
        </w:rPr>
        <w:t>,</w:t>
      </w:r>
      <w:r w:rsidR="000A2F12" w:rsidRPr="001D6BFA">
        <w:rPr>
          <w:rFonts w:eastAsia="Times New Roman" w:cs="Times New Roman"/>
          <w:color w:val="000000" w:themeColor="text1"/>
        </w:rPr>
        <w:t xml:space="preserve"> used for hazard calculation.</w:t>
      </w:r>
    </w:p>
    <w:p w14:paraId="23E5EF1E" w14:textId="77777777" w:rsidR="007707DF" w:rsidRPr="001D6BFA" w:rsidRDefault="007707DF"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6902923" w14:textId="5060B41D" w:rsidR="00415CEE" w:rsidRPr="001D6BFA" w:rsidRDefault="004A085C"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(b) The text states '… the maximum magnitude … is generally derived as the size of the largest observed event plus 0.5 magnitude units. However, Figure 4 seems to deviate from the Mobs+0.5 rule in half the cases, for example Groups 3, 4, 7 and 9. Please explain.</w:t>
      </w:r>
    </w:p>
    <w:p w14:paraId="13870ECA" w14:textId="0416D1F4"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0034A3AF" w14:textId="1E16F9C9" w:rsidR="008D4A05" w:rsidRPr="001D6BFA" w:rsidRDefault="007707DF"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r w:rsidRPr="001D6BFA">
        <w:rPr>
          <w:rFonts w:eastAsia="Times New Roman" w:cs="Times New Roman"/>
          <w:b/>
          <w:color w:val="00B050"/>
        </w:rPr>
        <w:t>AR:</w:t>
      </w:r>
      <w:r w:rsidR="00F213C9" w:rsidRPr="001D6BFA">
        <w:rPr>
          <w:rFonts w:eastAsia="Times New Roman" w:cs="Times New Roman"/>
          <w:color w:val="000000" w:themeColor="text1"/>
        </w:rPr>
        <w:t xml:space="preserve"> </w:t>
      </w:r>
      <w:r w:rsidR="008D4A05" w:rsidRPr="001D6BFA">
        <w:rPr>
          <w:rFonts w:eastAsia="Times New Roman" w:cs="Times New Roman"/>
          <w:color w:val="000000" w:themeColor="text1"/>
        </w:rPr>
        <w:t xml:space="preserve">We apologize for the lack of clarity. Actually, the GR of the different Groups in figure </w:t>
      </w:r>
      <w:r w:rsidR="00F56C80" w:rsidRPr="001D6BFA">
        <w:rPr>
          <w:rFonts w:eastAsia="Times New Roman" w:cs="Times New Roman"/>
          <w:color w:val="000000" w:themeColor="text1"/>
        </w:rPr>
        <w:t>4</w:t>
      </w:r>
      <w:r w:rsidR="008D4A05" w:rsidRPr="001D6BFA">
        <w:rPr>
          <w:rFonts w:eastAsia="Times New Roman" w:cs="Times New Roman"/>
          <w:color w:val="000000" w:themeColor="text1"/>
        </w:rPr>
        <w:t xml:space="preserve"> have been calculated using the largest </w:t>
      </w:r>
      <w:proofErr w:type="spellStart"/>
      <w:r w:rsidR="008D4A05" w:rsidRPr="001D6BFA">
        <w:rPr>
          <w:rFonts w:eastAsia="Times New Roman" w:cs="Times New Roman"/>
          <w:color w:val="000000" w:themeColor="text1"/>
        </w:rPr>
        <w:t>M</w:t>
      </w:r>
      <w:r w:rsidR="008D4A05" w:rsidRPr="001D6BFA">
        <w:rPr>
          <w:rFonts w:eastAsia="Times New Roman" w:cs="Times New Roman"/>
          <w:color w:val="000000" w:themeColor="text1"/>
          <w:vertAlign w:val="superscript"/>
        </w:rPr>
        <w:t>max</w:t>
      </w:r>
      <w:proofErr w:type="spellEnd"/>
      <w:r w:rsidR="008D4A05" w:rsidRPr="001D6BFA">
        <w:rPr>
          <w:rFonts w:eastAsia="Times New Roman" w:cs="Times New Roman"/>
          <w:color w:val="000000" w:themeColor="text1"/>
        </w:rPr>
        <w:t xml:space="preserve"> </w:t>
      </w:r>
      <w:r w:rsidR="00EE7FF7" w:rsidRPr="001D6BFA">
        <w:rPr>
          <w:rFonts w:eastAsia="Times New Roman" w:cs="Times New Roman"/>
          <w:color w:val="000000" w:themeColor="text1"/>
        </w:rPr>
        <w:t>(</w:t>
      </w:r>
      <w:r w:rsidR="00986010" w:rsidRPr="001D6BFA">
        <w:rPr>
          <w:rFonts w:eastAsia="Times New Roman" w:cs="Times New Roman"/>
          <w:color w:val="000000" w:themeColor="text1"/>
        </w:rPr>
        <w:t>=</w:t>
      </w:r>
      <w:r w:rsidR="00936F99" w:rsidRPr="001D6BFA">
        <w:rPr>
          <w:rFonts w:eastAsia="Times New Roman" w:cs="Times New Roman"/>
          <w:color w:val="000000" w:themeColor="text1"/>
        </w:rPr>
        <w:t xml:space="preserve"> </w:t>
      </w:r>
      <w:r w:rsidR="00EE7FF7" w:rsidRPr="001D6BFA">
        <w:rPr>
          <w:rFonts w:eastAsia="Times New Roman" w:cs="Times New Roman"/>
          <w:color w:val="000000" w:themeColor="text1"/>
        </w:rPr>
        <w:t>M</w:t>
      </w:r>
      <w:r w:rsidR="00EE7FF7" w:rsidRPr="001D6BFA">
        <w:rPr>
          <w:rFonts w:eastAsia="Times New Roman" w:cs="Times New Roman"/>
          <w:color w:val="000000" w:themeColor="text1"/>
          <w:vertAlign w:val="superscript"/>
        </w:rPr>
        <w:t>obs</w:t>
      </w:r>
      <w:r w:rsidR="00EE7FF7" w:rsidRPr="001D6BFA">
        <w:rPr>
          <w:rFonts w:eastAsia="Times New Roman" w:cs="Times New Roman"/>
          <w:color w:val="000000" w:themeColor="text1"/>
        </w:rPr>
        <w:t xml:space="preserve"> + 0.5) </w:t>
      </w:r>
      <w:r w:rsidR="008D4A05" w:rsidRPr="001D6BFA">
        <w:rPr>
          <w:rFonts w:eastAsia="Times New Roman" w:cs="Times New Roman"/>
          <w:color w:val="000000" w:themeColor="text1"/>
        </w:rPr>
        <w:t xml:space="preserve">of the zones </w:t>
      </w:r>
      <w:r w:rsidR="00FD2862" w:rsidRPr="001D6BFA">
        <w:rPr>
          <w:rFonts w:eastAsia="Times New Roman" w:cs="Times New Roman"/>
          <w:color w:val="000000" w:themeColor="text1"/>
        </w:rPr>
        <w:t>with</w:t>
      </w:r>
      <w:r w:rsidR="008D4A05" w:rsidRPr="001D6BFA">
        <w:rPr>
          <w:rFonts w:eastAsia="Times New Roman" w:cs="Times New Roman"/>
          <w:color w:val="000000" w:themeColor="text1"/>
        </w:rPr>
        <w:t xml:space="preserve">in each specific group. Values are therefore consistent with those in Table 7. We </w:t>
      </w:r>
      <w:r w:rsidR="00BB46A0" w:rsidRPr="001D6BFA">
        <w:rPr>
          <w:rFonts w:eastAsia="Times New Roman" w:cs="Times New Roman"/>
          <w:color w:val="000000" w:themeColor="text1"/>
        </w:rPr>
        <w:t xml:space="preserve">have </w:t>
      </w:r>
      <w:r w:rsidR="00BD6EAC" w:rsidRPr="001D6BFA">
        <w:rPr>
          <w:rFonts w:eastAsia="Times New Roman" w:cs="Times New Roman"/>
          <w:color w:val="000000" w:themeColor="text1"/>
        </w:rPr>
        <w:t>better described</w:t>
      </w:r>
      <w:r w:rsidR="008D4A05" w:rsidRPr="001D6BFA">
        <w:rPr>
          <w:rFonts w:eastAsia="Times New Roman" w:cs="Times New Roman"/>
          <w:color w:val="000000" w:themeColor="text1"/>
        </w:rPr>
        <w:t xml:space="preserve"> this information in section 6.1.2</w:t>
      </w:r>
      <w:r w:rsidR="005D3F23" w:rsidRPr="001D6BFA">
        <w:rPr>
          <w:rFonts w:eastAsia="Times New Roman" w:cs="Times New Roman"/>
          <w:color w:val="000000" w:themeColor="text1"/>
        </w:rPr>
        <w:t xml:space="preserve"> and in the caption of </w:t>
      </w:r>
      <w:r w:rsidR="00A91C2E" w:rsidRPr="001D6BFA">
        <w:rPr>
          <w:rFonts w:eastAsia="Times New Roman" w:cs="Times New Roman"/>
          <w:color w:val="000000" w:themeColor="text1"/>
        </w:rPr>
        <w:t xml:space="preserve">table 7 and </w:t>
      </w:r>
      <w:r w:rsidR="005D3F23" w:rsidRPr="001D6BFA">
        <w:rPr>
          <w:rFonts w:eastAsia="Times New Roman" w:cs="Times New Roman"/>
          <w:color w:val="000000" w:themeColor="text1"/>
        </w:rPr>
        <w:t>figure 4.</w:t>
      </w:r>
    </w:p>
    <w:p w14:paraId="7A813130" w14:textId="77777777" w:rsidR="007707DF" w:rsidRPr="001D6BFA" w:rsidRDefault="007707DF"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F4F2497" w14:textId="2C00D785" w:rsidR="00415CEE" w:rsidRPr="001D6BFA" w:rsidRDefault="004A085C"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(c) I recommend that the number of events exceeding M4.5 and the maximum observed magnitude in each source zone and group of source zones is listed in Table 7 and included in the Legend in Figure 4.</w:t>
      </w:r>
    </w:p>
    <w:p w14:paraId="5A3B7A17" w14:textId="731F08E2"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76C9205" w14:textId="405CCBA8" w:rsidR="00C82812" w:rsidRPr="001D6BFA" w:rsidRDefault="007707DF"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r w:rsidRPr="001D6BFA">
        <w:rPr>
          <w:rFonts w:eastAsia="Times New Roman" w:cs="Times New Roman"/>
          <w:b/>
          <w:color w:val="00B050"/>
        </w:rPr>
        <w:t>AR:</w:t>
      </w:r>
      <w:r w:rsidRPr="001D6BFA">
        <w:rPr>
          <w:rFonts w:eastAsia="Times New Roman" w:cs="Times New Roman"/>
          <w:color w:val="000000" w:themeColor="text1"/>
        </w:rPr>
        <w:t xml:space="preserve"> </w:t>
      </w:r>
      <w:r w:rsidR="00EA3D38" w:rsidRPr="001D6BFA">
        <w:rPr>
          <w:rFonts w:eastAsia="Times New Roman" w:cs="Times New Roman"/>
          <w:color w:val="000000" w:themeColor="text1"/>
        </w:rPr>
        <w:t>On this only point, w</w:t>
      </w:r>
      <w:r w:rsidR="00C82812" w:rsidRPr="001D6BFA">
        <w:rPr>
          <w:rFonts w:eastAsia="Times New Roman" w:cs="Times New Roman"/>
          <w:color w:val="000000" w:themeColor="text1"/>
        </w:rPr>
        <w:t>e do not agree with the reviewer suggestion. In our perspective, providing just the number of events larger than M4.5 without completeness information would be misleadin</w:t>
      </w:r>
      <w:r w:rsidR="00FE0246" w:rsidRPr="001D6BFA">
        <w:rPr>
          <w:rFonts w:eastAsia="Times New Roman" w:cs="Times New Roman"/>
          <w:color w:val="000000" w:themeColor="text1"/>
        </w:rPr>
        <w:t>g</w:t>
      </w:r>
      <w:r w:rsidR="00C82812" w:rsidRPr="001D6BFA">
        <w:rPr>
          <w:rFonts w:eastAsia="Times New Roman" w:cs="Times New Roman"/>
          <w:color w:val="000000" w:themeColor="text1"/>
        </w:rPr>
        <w:t xml:space="preserve">. </w:t>
      </w:r>
      <w:r w:rsidR="002506C0">
        <w:rPr>
          <w:rFonts w:eastAsia="Times New Roman" w:cs="Times New Roman"/>
          <w:color w:val="000000" w:themeColor="text1"/>
        </w:rPr>
        <w:t>Also, w</w:t>
      </w:r>
      <w:r w:rsidR="00C82812" w:rsidRPr="001D6BFA">
        <w:rPr>
          <w:rFonts w:eastAsia="Times New Roman" w:cs="Times New Roman"/>
          <w:color w:val="000000" w:themeColor="text1"/>
        </w:rPr>
        <w:t xml:space="preserve">e </w:t>
      </w:r>
      <w:r w:rsidR="006E1944" w:rsidRPr="001D6BFA">
        <w:rPr>
          <w:rFonts w:eastAsia="Times New Roman" w:cs="Times New Roman"/>
          <w:color w:val="000000" w:themeColor="text1"/>
        </w:rPr>
        <w:t>would prefer</w:t>
      </w:r>
      <w:r w:rsidR="00C82812" w:rsidRPr="001D6BFA">
        <w:rPr>
          <w:rFonts w:eastAsia="Times New Roman" w:cs="Times New Roman"/>
          <w:color w:val="000000" w:themeColor="text1"/>
        </w:rPr>
        <w:t xml:space="preserve"> </w:t>
      </w:r>
      <w:r w:rsidR="006E1944" w:rsidRPr="001D6BFA">
        <w:rPr>
          <w:rFonts w:eastAsia="Times New Roman" w:cs="Times New Roman"/>
          <w:color w:val="000000" w:themeColor="text1"/>
        </w:rPr>
        <w:t xml:space="preserve">to </w:t>
      </w:r>
      <w:r w:rsidR="00C82812" w:rsidRPr="001D6BFA">
        <w:rPr>
          <w:rFonts w:eastAsia="Times New Roman" w:cs="Times New Roman"/>
          <w:color w:val="000000" w:themeColor="text1"/>
        </w:rPr>
        <w:t>not include this information in the paper for the sake of conciseness</w:t>
      </w:r>
      <w:r w:rsidR="003D08D9" w:rsidRPr="001D6BFA">
        <w:rPr>
          <w:rFonts w:eastAsia="Times New Roman" w:cs="Times New Roman"/>
          <w:color w:val="000000" w:themeColor="text1"/>
        </w:rPr>
        <w:t xml:space="preserve">. </w:t>
      </w:r>
      <w:r w:rsidR="006E1944" w:rsidRPr="001D6BFA">
        <w:rPr>
          <w:rFonts w:eastAsia="Times New Roman" w:cs="Times New Roman"/>
          <w:color w:val="000000" w:themeColor="text1"/>
        </w:rPr>
        <w:t>It must be noted, however</w:t>
      </w:r>
      <w:r w:rsidR="00812225" w:rsidRPr="001D6BFA">
        <w:rPr>
          <w:rFonts w:eastAsia="Times New Roman" w:cs="Times New Roman"/>
          <w:color w:val="000000" w:themeColor="text1"/>
        </w:rPr>
        <w:t xml:space="preserve">, </w:t>
      </w:r>
      <w:r w:rsidR="006E1944" w:rsidRPr="001D6BFA">
        <w:rPr>
          <w:rFonts w:eastAsia="Times New Roman" w:cs="Times New Roman"/>
          <w:color w:val="000000" w:themeColor="text1"/>
        </w:rPr>
        <w:t xml:space="preserve">that </w:t>
      </w:r>
      <w:r w:rsidR="00812225" w:rsidRPr="001D6BFA">
        <w:rPr>
          <w:rFonts w:eastAsia="Times New Roman" w:cs="Times New Roman"/>
          <w:color w:val="000000" w:themeColor="text1"/>
        </w:rPr>
        <w:t>t</w:t>
      </w:r>
      <w:r w:rsidR="003D08D9" w:rsidRPr="001D6BFA">
        <w:rPr>
          <w:rFonts w:eastAsia="Times New Roman" w:cs="Times New Roman"/>
          <w:color w:val="000000" w:themeColor="text1"/>
        </w:rPr>
        <w:t xml:space="preserve">he interested </w:t>
      </w:r>
      <w:r w:rsidR="00812225" w:rsidRPr="001D6BFA">
        <w:rPr>
          <w:rFonts w:eastAsia="Times New Roman" w:cs="Times New Roman"/>
          <w:color w:val="000000" w:themeColor="text1"/>
        </w:rPr>
        <w:t>reader</w:t>
      </w:r>
      <w:r w:rsidR="003D08D9" w:rsidRPr="001D6BFA">
        <w:rPr>
          <w:rFonts w:eastAsia="Times New Roman" w:cs="Times New Roman"/>
          <w:color w:val="000000" w:themeColor="text1"/>
        </w:rPr>
        <w:t xml:space="preserve"> can obtain the </w:t>
      </w:r>
      <w:r w:rsidR="00812225" w:rsidRPr="001D6BFA">
        <w:rPr>
          <w:rFonts w:eastAsia="Times New Roman" w:cs="Times New Roman"/>
          <w:color w:val="000000" w:themeColor="text1"/>
        </w:rPr>
        <w:t xml:space="preserve">whole </w:t>
      </w:r>
      <w:r w:rsidR="003D08D9" w:rsidRPr="001D6BFA">
        <w:rPr>
          <w:rFonts w:eastAsia="Times New Roman" w:cs="Times New Roman"/>
          <w:color w:val="000000" w:themeColor="text1"/>
        </w:rPr>
        <w:t xml:space="preserve">model calibration information </w:t>
      </w:r>
      <w:r w:rsidR="00812225" w:rsidRPr="001D6BFA">
        <w:rPr>
          <w:rFonts w:eastAsia="Times New Roman" w:cs="Times New Roman"/>
          <w:color w:val="000000" w:themeColor="text1"/>
        </w:rPr>
        <w:t xml:space="preserve">(catalogue, completeness table, etc.) directly </w:t>
      </w:r>
      <w:r w:rsidR="003D08D9" w:rsidRPr="001D6BFA">
        <w:rPr>
          <w:rFonts w:eastAsia="Times New Roman" w:cs="Times New Roman"/>
          <w:color w:val="000000" w:themeColor="text1"/>
        </w:rPr>
        <w:t>from the GEM foundation</w:t>
      </w:r>
      <w:r w:rsidR="009128C0">
        <w:rPr>
          <w:rFonts w:eastAsia="Times New Roman" w:cs="Times New Roman"/>
          <w:color w:val="000000" w:themeColor="text1"/>
        </w:rPr>
        <w:t xml:space="preserve"> (reference </w:t>
      </w:r>
      <w:r w:rsidR="007D7024">
        <w:rPr>
          <w:rFonts w:eastAsia="Times New Roman" w:cs="Times New Roman"/>
          <w:color w:val="000000" w:themeColor="text1"/>
        </w:rPr>
        <w:t>in</w:t>
      </w:r>
      <w:r w:rsidR="009128C0">
        <w:rPr>
          <w:rFonts w:eastAsia="Times New Roman" w:cs="Times New Roman"/>
          <w:color w:val="000000" w:themeColor="text1"/>
        </w:rPr>
        <w:t xml:space="preserve"> Data and Resource section)</w:t>
      </w:r>
      <w:r w:rsidR="003D08D9" w:rsidRPr="001D6BFA">
        <w:rPr>
          <w:rFonts w:eastAsia="Times New Roman" w:cs="Times New Roman"/>
          <w:color w:val="000000" w:themeColor="text1"/>
        </w:rPr>
        <w:t xml:space="preserve">, </w:t>
      </w:r>
      <w:r w:rsidR="00F402D3" w:rsidRPr="001D6BFA">
        <w:rPr>
          <w:rFonts w:eastAsia="Times New Roman" w:cs="Times New Roman"/>
          <w:color w:val="000000" w:themeColor="text1"/>
        </w:rPr>
        <w:t>who</w:t>
      </w:r>
      <w:r w:rsidR="003D08D9" w:rsidRPr="001D6BFA">
        <w:rPr>
          <w:rFonts w:eastAsia="Times New Roman" w:cs="Times New Roman"/>
          <w:color w:val="000000" w:themeColor="text1"/>
        </w:rPr>
        <w:t xml:space="preserve"> is currently preparing a </w:t>
      </w:r>
      <w:r w:rsidR="00A27AC0" w:rsidRPr="001D6BFA">
        <w:rPr>
          <w:rFonts w:eastAsia="Times New Roman" w:cs="Times New Roman"/>
          <w:color w:val="000000" w:themeColor="text1"/>
        </w:rPr>
        <w:t>public</w:t>
      </w:r>
      <w:r w:rsidR="003D08D9" w:rsidRPr="001D6BFA">
        <w:rPr>
          <w:rFonts w:eastAsia="Times New Roman" w:cs="Times New Roman"/>
          <w:color w:val="000000" w:themeColor="text1"/>
        </w:rPr>
        <w:t xml:space="preserve"> repository </w:t>
      </w:r>
      <w:r w:rsidR="009B1330" w:rsidRPr="001D6BFA">
        <w:rPr>
          <w:rFonts w:eastAsia="Times New Roman" w:cs="Times New Roman"/>
          <w:color w:val="000000" w:themeColor="text1"/>
        </w:rPr>
        <w:t>where</w:t>
      </w:r>
      <w:r w:rsidR="003D08D9" w:rsidRPr="001D6BFA">
        <w:rPr>
          <w:rFonts w:eastAsia="Times New Roman" w:cs="Times New Roman"/>
          <w:color w:val="000000" w:themeColor="text1"/>
        </w:rPr>
        <w:t xml:space="preserve"> model build-up</w:t>
      </w:r>
      <w:r w:rsidR="009B1330" w:rsidRPr="001D6BFA">
        <w:rPr>
          <w:rFonts w:eastAsia="Times New Roman" w:cs="Times New Roman"/>
          <w:color w:val="000000" w:themeColor="text1"/>
        </w:rPr>
        <w:t xml:space="preserve"> will be </w:t>
      </w:r>
      <w:r w:rsidR="00A27AC0" w:rsidRPr="001D6BFA">
        <w:rPr>
          <w:rFonts w:eastAsia="Times New Roman" w:cs="Times New Roman"/>
          <w:color w:val="000000" w:themeColor="text1"/>
        </w:rPr>
        <w:t xml:space="preserve">openly </w:t>
      </w:r>
      <w:r w:rsidR="009B1330" w:rsidRPr="001D6BFA">
        <w:rPr>
          <w:rFonts w:eastAsia="Times New Roman" w:cs="Times New Roman"/>
          <w:color w:val="000000" w:themeColor="text1"/>
        </w:rPr>
        <w:t>available.</w:t>
      </w:r>
    </w:p>
    <w:p w14:paraId="352766C6" w14:textId="1802781A" w:rsidR="007707DF" w:rsidRPr="001D6BFA" w:rsidRDefault="003D08D9"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color w:val="000000" w:themeColor="text1"/>
        </w:rPr>
        <w:t>Similarly</w:t>
      </w:r>
      <w:r w:rsidR="00473173" w:rsidRPr="001D6BFA">
        <w:rPr>
          <w:rFonts w:eastAsia="Times New Roman" w:cs="Times New Roman"/>
          <w:color w:val="000000" w:themeColor="text1"/>
        </w:rPr>
        <w:t>, the indication of M</w:t>
      </w:r>
      <w:r w:rsidR="00473173" w:rsidRPr="001D6BFA">
        <w:rPr>
          <w:rFonts w:eastAsia="Times New Roman" w:cs="Times New Roman"/>
          <w:color w:val="000000" w:themeColor="text1"/>
          <w:vertAlign w:val="superscript"/>
        </w:rPr>
        <w:t>obs</w:t>
      </w:r>
      <w:r w:rsidR="00473173" w:rsidRPr="001D6BFA">
        <w:rPr>
          <w:rFonts w:eastAsia="Times New Roman" w:cs="Times New Roman"/>
          <w:color w:val="000000" w:themeColor="text1"/>
        </w:rPr>
        <w:t xml:space="preserve"> might be </w:t>
      </w:r>
      <w:r w:rsidR="00FE133C" w:rsidRPr="001D6BFA">
        <w:rPr>
          <w:rFonts w:eastAsia="Times New Roman" w:cs="Times New Roman"/>
          <w:color w:val="000000" w:themeColor="text1"/>
        </w:rPr>
        <w:t xml:space="preserve">here </w:t>
      </w:r>
      <w:r w:rsidR="00473173" w:rsidRPr="001D6BFA">
        <w:rPr>
          <w:rFonts w:eastAsia="Times New Roman" w:cs="Times New Roman"/>
          <w:color w:val="000000" w:themeColor="text1"/>
        </w:rPr>
        <w:t xml:space="preserve">redundant, as it would simply </w:t>
      </w:r>
      <w:r w:rsidR="005F7FD3" w:rsidRPr="001D6BFA">
        <w:rPr>
          <w:rFonts w:eastAsia="Times New Roman" w:cs="Times New Roman"/>
          <w:color w:val="000000" w:themeColor="text1"/>
        </w:rPr>
        <w:t xml:space="preserve">be </w:t>
      </w:r>
      <w:r w:rsidR="00473173" w:rsidRPr="001D6BFA">
        <w:rPr>
          <w:rFonts w:eastAsia="Times New Roman" w:cs="Times New Roman"/>
          <w:color w:val="000000" w:themeColor="text1"/>
        </w:rPr>
        <w:t xml:space="preserve">the </w:t>
      </w:r>
      <w:proofErr w:type="spellStart"/>
      <w:r w:rsidR="00473173" w:rsidRPr="001D6BFA">
        <w:rPr>
          <w:rFonts w:eastAsia="Times New Roman" w:cs="Times New Roman"/>
          <w:color w:val="000000" w:themeColor="text1"/>
        </w:rPr>
        <w:t>M</w:t>
      </w:r>
      <w:r w:rsidR="00473173" w:rsidRPr="001D6BFA">
        <w:rPr>
          <w:rFonts w:eastAsia="Times New Roman" w:cs="Times New Roman"/>
          <w:color w:val="000000" w:themeColor="text1"/>
          <w:vertAlign w:val="superscript"/>
        </w:rPr>
        <w:t>max</w:t>
      </w:r>
      <w:proofErr w:type="spellEnd"/>
      <w:r w:rsidR="00473173" w:rsidRPr="001D6BFA">
        <w:rPr>
          <w:rFonts w:eastAsia="Times New Roman" w:cs="Times New Roman"/>
          <w:color w:val="000000" w:themeColor="text1"/>
        </w:rPr>
        <w:t xml:space="preserve"> (already </w:t>
      </w:r>
      <w:r w:rsidR="00C957D9" w:rsidRPr="001D6BFA">
        <w:rPr>
          <w:rFonts w:eastAsia="Times New Roman" w:cs="Times New Roman"/>
          <w:color w:val="000000" w:themeColor="text1"/>
        </w:rPr>
        <w:t>shown</w:t>
      </w:r>
      <w:r w:rsidR="00473173" w:rsidRPr="001D6BFA">
        <w:rPr>
          <w:rFonts w:eastAsia="Times New Roman" w:cs="Times New Roman"/>
          <w:color w:val="000000" w:themeColor="text1"/>
        </w:rPr>
        <w:t>) minus 0.5</w:t>
      </w:r>
      <w:r w:rsidR="00A70D55" w:rsidRPr="001D6BFA">
        <w:rPr>
          <w:rFonts w:eastAsia="Times New Roman" w:cs="Times New Roman"/>
          <w:color w:val="000000" w:themeColor="text1"/>
        </w:rPr>
        <w:t xml:space="preserve"> units</w:t>
      </w:r>
      <w:r w:rsidR="00473173" w:rsidRPr="001D6BFA">
        <w:rPr>
          <w:rFonts w:eastAsia="Times New Roman" w:cs="Times New Roman"/>
          <w:color w:val="000000" w:themeColor="text1"/>
        </w:rPr>
        <w:t xml:space="preserve">. </w:t>
      </w:r>
      <w:r w:rsidR="00E252F3" w:rsidRPr="001D6BFA">
        <w:rPr>
          <w:rFonts w:eastAsia="Times New Roman" w:cs="Times New Roman"/>
          <w:color w:val="000000" w:themeColor="text1"/>
        </w:rPr>
        <w:t>Therefore, w</w:t>
      </w:r>
      <w:r w:rsidR="00473173" w:rsidRPr="001D6BFA">
        <w:rPr>
          <w:rFonts w:eastAsia="Times New Roman" w:cs="Times New Roman"/>
          <w:color w:val="000000" w:themeColor="text1"/>
        </w:rPr>
        <w:t>e would prefer to avoid inc</w:t>
      </w:r>
      <w:r w:rsidR="00E252F3" w:rsidRPr="001D6BFA">
        <w:rPr>
          <w:rFonts w:eastAsia="Times New Roman" w:cs="Times New Roman"/>
          <w:color w:val="000000" w:themeColor="text1"/>
        </w:rPr>
        <w:t>l</w:t>
      </w:r>
      <w:r w:rsidR="00473173" w:rsidRPr="001D6BFA">
        <w:rPr>
          <w:rFonts w:eastAsia="Times New Roman" w:cs="Times New Roman"/>
          <w:color w:val="000000" w:themeColor="text1"/>
        </w:rPr>
        <w:t>uding this</w:t>
      </w:r>
      <w:r w:rsidR="00EA075C" w:rsidRPr="001D6BFA">
        <w:rPr>
          <w:rFonts w:eastAsia="Times New Roman" w:cs="Times New Roman"/>
          <w:color w:val="000000" w:themeColor="text1"/>
        </w:rPr>
        <w:t>.</w:t>
      </w:r>
    </w:p>
    <w:p w14:paraId="08A4CBB4" w14:textId="77777777" w:rsidR="007707DF" w:rsidRPr="001D6BFA" w:rsidRDefault="007707DF"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6C797E7" w14:textId="4BDF63CE" w:rsidR="00415CEE" w:rsidRPr="001D6BFA" w:rsidRDefault="004A085C"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(d) Provide more information on the selection of the sizes of the magnitude bins. For example, is there a minimum number of events in a bin? How is the magnitude of non-cumulative number of events in each bin calculated? For example, the mean of the magnitudes. This is important when fitting the curves and determining the rates.</w:t>
      </w:r>
    </w:p>
    <w:p w14:paraId="221B40B4"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BF0BBD8" w14:textId="4A4FA205" w:rsidR="00E4785A" w:rsidRPr="001D6BFA" w:rsidRDefault="007707DF"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r w:rsidRPr="001D6BFA">
        <w:rPr>
          <w:rFonts w:eastAsia="Times New Roman" w:cs="Times New Roman"/>
          <w:b/>
          <w:color w:val="00B050"/>
        </w:rPr>
        <w:t>AR:</w:t>
      </w:r>
      <w:r w:rsidRPr="001D6BFA">
        <w:rPr>
          <w:rFonts w:eastAsia="Times New Roman" w:cs="Times New Roman"/>
          <w:color w:val="000000" w:themeColor="text1"/>
        </w:rPr>
        <w:t xml:space="preserve"> </w:t>
      </w:r>
      <w:r w:rsidR="00E4785A" w:rsidRPr="001D6BFA">
        <w:rPr>
          <w:rFonts w:eastAsia="Times New Roman" w:cs="Times New Roman"/>
          <w:color w:val="000000" w:themeColor="text1"/>
        </w:rPr>
        <w:t>T</w:t>
      </w:r>
      <w:r w:rsidR="001779FB" w:rsidRPr="001D6BFA">
        <w:rPr>
          <w:rFonts w:eastAsia="Times New Roman" w:cs="Times New Roman"/>
          <w:color w:val="000000" w:themeColor="text1"/>
        </w:rPr>
        <w:t>o</w:t>
      </w:r>
      <w:r w:rsidR="00E4785A" w:rsidRPr="001D6BFA">
        <w:rPr>
          <w:rFonts w:eastAsia="Times New Roman" w:cs="Times New Roman"/>
          <w:color w:val="000000" w:themeColor="text1"/>
        </w:rPr>
        <w:t xml:space="preserve"> better describe the procedure</w:t>
      </w:r>
      <w:r w:rsidR="0091393F" w:rsidRPr="001D6BFA">
        <w:rPr>
          <w:rFonts w:eastAsia="Times New Roman" w:cs="Times New Roman"/>
          <w:color w:val="000000" w:themeColor="text1"/>
        </w:rPr>
        <w:t xml:space="preserve"> we used to calibrate the GR</w:t>
      </w:r>
      <w:r w:rsidR="00E4785A" w:rsidRPr="001D6BFA">
        <w:rPr>
          <w:rFonts w:eastAsia="Times New Roman" w:cs="Times New Roman"/>
          <w:color w:val="000000" w:themeColor="text1"/>
        </w:rPr>
        <w:t xml:space="preserve">, we added the following </w:t>
      </w:r>
      <w:r w:rsidR="00487295" w:rsidRPr="001D6BFA">
        <w:rPr>
          <w:rFonts w:eastAsia="Times New Roman" w:cs="Times New Roman"/>
          <w:color w:val="000000" w:themeColor="text1"/>
        </w:rPr>
        <w:t xml:space="preserve">description </w:t>
      </w:r>
      <w:r w:rsidR="00E4785A" w:rsidRPr="001D6BFA">
        <w:rPr>
          <w:rFonts w:eastAsia="Times New Roman" w:cs="Times New Roman"/>
          <w:color w:val="000000" w:themeColor="text1"/>
        </w:rPr>
        <w:t>in section 6.1.2:</w:t>
      </w:r>
    </w:p>
    <w:p w14:paraId="0B6A9549" w14:textId="77777777" w:rsidR="00E4785A" w:rsidRPr="001D6BFA" w:rsidRDefault="00E4785A"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p>
    <w:p w14:paraId="2B84BFA2" w14:textId="0EF82BC4" w:rsidR="00166CA2" w:rsidRPr="001D6BFA" w:rsidRDefault="00E4785A"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color w:val="000000" w:themeColor="text1"/>
        </w:rPr>
        <w:lastRenderedPageBreak/>
        <w:t>“</w:t>
      </w:r>
      <w:r w:rsidR="00702C68" w:rsidRPr="001D6BFA">
        <w:rPr>
          <w:rFonts w:eastAsia="Times New Roman" w:cs="Times New Roman"/>
          <w:i/>
          <w:color w:val="000000" w:themeColor="text1"/>
        </w:rPr>
        <w:t>The bin size is defined while performing completeness analysis and is progressively adjusted after several iterations to provide an optimal solution of the GR. In general, the size is set be increasing with magnitude (e.g. 0.25 magnitude units from 4.5 to 5.25, then 0,5 above 5.5), but in case of too few events (e.g. group 5), grouping might be necessary. The process require</w:t>
      </w:r>
      <w:r w:rsidR="00376D7A" w:rsidRPr="001D6BFA">
        <w:rPr>
          <w:rFonts w:eastAsia="Times New Roman" w:cs="Times New Roman"/>
          <w:i/>
          <w:color w:val="000000" w:themeColor="text1"/>
        </w:rPr>
        <w:t>s</w:t>
      </w:r>
      <w:r w:rsidR="00702C68" w:rsidRPr="001D6BFA">
        <w:rPr>
          <w:rFonts w:eastAsia="Times New Roman" w:cs="Times New Roman"/>
          <w:i/>
          <w:color w:val="000000" w:themeColor="text1"/>
        </w:rPr>
        <w:t xml:space="preserve"> nonetheless a level of personal interpretation based on expert judgement.</w:t>
      </w:r>
      <w:r w:rsidRPr="001D6BFA">
        <w:rPr>
          <w:rFonts w:eastAsia="Times New Roman" w:cs="Times New Roman"/>
          <w:color w:val="000000" w:themeColor="text1"/>
        </w:rPr>
        <w:t>”</w:t>
      </w:r>
    </w:p>
    <w:p w14:paraId="550B6C7F" w14:textId="77777777" w:rsidR="00E4785A" w:rsidRPr="001D6BFA" w:rsidRDefault="00E4785A"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p>
    <w:p w14:paraId="59F07BD9" w14:textId="6D1B3188" w:rsidR="007707DF" w:rsidRPr="001D6BFA" w:rsidRDefault="004879B7" w:rsidP="00770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color w:val="000000" w:themeColor="text1"/>
        </w:rPr>
        <w:t xml:space="preserve">As is visible from figure 4 (white squares) the </w:t>
      </w:r>
      <w:r w:rsidR="009B407E" w:rsidRPr="001D6BFA">
        <w:rPr>
          <w:rFonts w:eastAsia="Times New Roman" w:cs="Times New Roman"/>
          <w:color w:val="000000" w:themeColor="text1"/>
        </w:rPr>
        <w:t>reference magnitude of the non-cumulative (incremental) bins is defined as the mid-point of the bin.</w:t>
      </w:r>
      <w:r w:rsidR="00BF48A0" w:rsidRPr="001D6BFA">
        <w:rPr>
          <w:rFonts w:eastAsia="Times New Roman" w:cs="Times New Roman"/>
          <w:color w:val="000000" w:themeColor="text1"/>
        </w:rPr>
        <w:t xml:space="preserve"> We </w:t>
      </w:r>
      <w:r w:rsidR="00B00AC3" w:rsidRPr="001D6BFA">
        <w:rPr>
          <w:rFonts w:eastAsia="Times New Roman" w:cs="Times New Roman"/>
          <w:color w:val="000000" w:themeColor="text1"/>
        </w:rPr>
        <w:t xml:space="preserve">have </w:t>
      </w:r>
      <w:r w:rsidR="00412E83" w:rsidRPr="001D6BFA">
        <w:rPr>
          <w:rFonts w:eastAsia="Times New Roman" w:cs="Times New Roman"/>
          <w:color w:val="000000" w:themeColor="text1"/>
        </w:rPr>
        <w:t xml:space="preserve">thus </w:t>
      </w:r>
      <w:r w:rsidR="00B00AC3" w:rsidRPr="001D6BFA">
        <w:rPr>
          <w:rFonts w:eastAsia="Times New Roman" w:cs="Times New Roman"/>
          <w:color w:val="000000" w:themeColor="text1"/>
        </w:rPr>
        <w:t>clarified</w:t>
      </w:r>
      <w:r w:rsidR="00BF48A0" w:rsidRPr="001D6BFA">
        <w:rPr>
          <w:rFonts w:eastAsia="Times New Roman" w:cs="Times New Roman"/>
          <w:color w:val="000000" w:themeColor="text1"/>
        </w:rPr>
        <w:t xml:space="preserve"> this information in the caption of Figure 4.</w:t>
      </w:r>
    </w:p>
    <w:p w14:paraId="0A8DED52"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01D6118C"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1D6BFA">
        <w:rPr>
          <w:rFonts w:eastAsia="Times New Roman" w:cs="Times New Roman"/>
          <w:b/>
        </w:rPr>
        <w:t>REFERENCES</w:t>
      </w:r>
    </w:p>
    <w:p w14:paraId="0C6BE887"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F6EF449" w14:textId="44ADD543" w:rsidR="00415CEE" w:rsidRPr="001D6BFA" w:rsidRDefault="00F857C0"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There are many inconsistencies in the reference list. The authors must adhere to the prescribed style.</w:t>
      </w:r>
      <w:r w:rsidR="00A30222" w:rsidRPr="001D6BFA">
        <w:rPr>
          <w:rFonts w:eastAsia="Times New Roman" w:cs="Times New Roman"/>
        </w:rPr>
        <w:t xml:space="preserve"> </w:t>
      </w:r>
      <w:r w:rsidR="00415CEE" w:rsidRPr="001D6BFA">
        <w:rPr>
          <w:rFonts w:eastAsia="Times New Roman" w:cs="Times New Roman"/>
        </w:rPr>
        <w:t>About 40 articles cited in the text that do not appear in the reference list. For example:</w:t>
      </w:r>
    </w:p>
    <w:p w14:paraId="0E9E9600" w14:textId="5BDB3EA9"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04FFB2A3" w14:textId="58487D11" w:rsidR="00A30222" w:rsidRPr="001D6BFA" w:rsidRDefault="00A30222"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000000" w:themeColor="text1"/>
        </w:rPr>
      </w:pPr>
      <w:r w:rsidRPr="001D6BFA">
        <w:rPr>
          <w:rFonts w:eastAsia="Times New Roman" w:cs="Times New Roman"/>
          <w:b/>
          <w:color w:val="00B050"/>
        </w:rPr>
        <w:t>AR:</w:t>
      </w:r>
      <w:r w:rsidRPr="001D6BFA">
        <w:rPr>
          <w:rFonts w:eastAsia="Times New Roman" w:cs="Times New Roman"/>
          <w:color w:val="000000" w:themeColor="text1"/>
        </w:rPr>
        <w:t xml:space="preserve"> We apologize for th</w:t>
      </w:r>
      <w:r w:rsidR="00610921" w:rsidRPr="001D6BFA">
        <w:rPr>
          <w:rFonts w:eastAsia="Times New Roman" w:cs="Times New Roman"/>
          <w:color w:val="000000" w:themeColor="text1"/>
        </w:rPr>
        <w:t>e mistake</w:t>
      </w:r>
      <w:r w:rsidRPr="001D6BFA">
        <w:rPr>
          <w:rFonts w:eastAsia="Times New Roman" w:cs="Times New Roman"/>
          <w:color w:val="000000" w:themeColor="text1"/>
        </w:rPr>
        <w:t xml:space="preserve">. </w:t>
      </w:r>
      <w:r w:rsidR="00C57A99" w:rsidRPr="001D6BFA">
        <w:rPr>
          <w:rFonts w:eastAsia="Times New Roman" w:cs="Times New Roman"/>
          <w:color w:val="000000" w:themeColor="text1"/>
        </w:rPr>
        <w:t>Missing r</w:t>
      </w:r>
      <w:r w:rsidRPr="001D6BFA">
        <w:rPr>
          <w:rFonts w:eastAsia="Times New Roman" w:cs="Times New Roman"/>
          <w:color w:val="000000" w:themeColor="text1"/>
        </w:rPr>
        <w:t>eferences have b</w:t>
      </w:r>
      <w:r w:rsidR="00C57A99" w:rsidRPr="001D6BFA">
        <w:rPr>
          <w:rFonts w:eastAsia="Times New Roman" w:cs="Times New Roman"/>
          <w:color w:val="000000" w:themeColor="text1"/>
        </w:rPr>
        <w:t>een included.</w:t>
      </w:r>
    </w:p>
    <w:p w14:paraId="4A1C097C"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0A4C44C"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1D6BFA">
        <w:rPr>
          <w:rFonts w:eastAsia="Times New Roman" w:cs="Times New Roman"/>
          <w:b/>
        </w:rPr>
        <w:t>TABLES</w:t>
      </w:r>
    </w:p>
    <w:p w14:paraId="3C0B60D1"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B8DF729" w14:textId="2F893FB5" w:rsidR="00415CEE" w:rsidRPr="001D6BFA" w:rsidRDefault="00DA767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 xml:space="preserve">Table 5: Define the magnitude types in the caption e.g. MS, Ms, MSZ, </w:t>
      </w:r>
      <w:proofErr w:type="spellStart"/>
      <w:r w:rsidR="00415CEE" w:rsidRPr="001D6BFA">
        <w:rPr>
          <w:rFonts w:eastAsia="Times New Roman" w:cs="Times New Roman"/>
        </w:rPr>
        <w:t>mb</w:t>
      </w:r>
      <w:proofErr w:type="spellEnd"/>
      <w:r w:rsidR="00415CEE" w:rsidRPr="001D6BFA">
        <w:rPr>
          <w:rFonts w:eastAsia="Times New Roman" w:cs="Times New Roman"/>
        </w:rPr>
        <w:t xml:space="preserve">, mb1, </w:t>
      </w:r>
      <w:proofErr w:type="spellStart"/>
      <w:r w:rsidR="00415CEE" w:rsidRPr="001D6BFA">
        <w:rPr>
          <w:rFonts w:eastAsia="Times New Roman" w:cs="Times New Roman"/>
        </w:rPr>
        <w:t>MbLg</w:t>
      </w:r>
      <w:proofErr w:type="spellEnd"/>
      <w:r w:rsidR="00415CEE" w:rsidRPr="001D6BFA">
        <w:rPr>
          <w:rFonts w:eastAsia="Times New Roman" w:cs="Times New Roman"/>
        </w:rPr>
        <w:t xml:space="preserve">, </w:t>
      </w:r>
      <w:proofErr w:type="spellStart"/>
      <w:r w:rsidR="00415CEE" w:rsidRPr="001D6BFA">
        <w:rPr>
          <w:rFonts w:eastAsia="Times New Roman" w:cs="Times New Roman"/>
        </w:rPr>
        <w:t>mbLg</w:t>
      </w:r>
      <w:proofErr w:type="spellEnd"/>
      <w:r w:rsidR="00415CEE" w:rsidRPr="001D6BFA">
        <w:rPr>
          <w:rFonts w:eastAsia="Times New Roman" w:cs="Times New Roman"/>
        </w:rPr>
        <w:t xml:space="preserve"> mL, ML, </w:t>
      </w:r>
      <w:proofErr w:type="spellStart"/>
      <w:r w:rsidR="00415CEE" w:rsidRPr="001D6BFA">
        <w:rPr>
          <w:rFonts w:eastAsia="Times New Roman" w:cs="Times New Roman"/>
        </w:rPr>
        <w:t>Ml</w:t>
      </w:r>
      <w:proofErr w:type="spellEnd"/>
      <w:r w:rsidR="00415CEE" w:rsidRPr="001D6BFA">
        <w:rPr>
          <w:rFonts w:eastAsia="Times New Roman" w:cs="Times New Roman"/>
        </w:rPr>
        <w:t>, MD, md</w:t>
      </w:r>
    </w:p>
    <w:p w14:paraId="304FB371" w14:textId="3565873B"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301A6EC" w14:textId="265D0852" w:rsidR="00427713" w:rsidRPr="001D6BFA" w:rsidRDefault="00427713"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b/>
          <w:color w:val="00B050"/>
        </w:rPr>
        <w:t>AR:</w:t>
      </w:r>
      <w:r w:rsidR="002F6D12" w:rsidRPr="001D6BFA">
        <w:rPr>
          <w:rFonts w:eastAsia="Times New Roman" w:cs="Times New Roman"/>
        </w:rPr>
        <w:t xml:space="preserve"> </w:t>
      </w:r>
      <w:r w:rsidR="00CA77EB" w:rsidRPr="001D6BFA">
        <w:rPr>
          <w:rFonts w:eastAsia="Times New Roman" w:cs="Times New Roman"/>
        </w:rPr>
        <w:t xml:space="preserve">Magnitude types are defined from ISC using the IASPEI recommendations. </w:t>
      </w:r>
      <w:r w:rsidR="006E3D9E" w:rsidRPr="001D6BFA">
        <w:rPr>
          <w:rFonts w:eastAsia="Times New Roman" w:cs="Times New Roman"/>
        </w:rPr>
        <w:t>This is now described</w:t>
      </w:r>
      <w:r w:rsidR="00CA77EB" w:rsidRPr="001D6BFA">
        <w:rPr>
          <w:rFonts w:eastAsia="Times New Roman" w:cs="Times New Roman"/>
        </w:rPr>
        <w:t xml:space="preserve"> in the caption of Table 5, with </w:t>
      </w:r>
      <w:r w:rsidR="00880F41" w:rsidRPr="001D6BFA">
        <w:rPr>
          <w:rFonts w:eastAsia="Times New Roman" w:cs="Times New Roman"/>
        </w:rPr>
        <w:t xml:space="preserve">direct </w:t>
      </w:r>
      <w:r w:rsidR="00CA77EB" w:rsidRPr="001D6BFA">
        <w:rPr>
          <w:rFonts w:eastAsia="Times New Roman" w:cs="Times New Roman"/>
        </w:rPr>
        <w:t>reference to the IASPEI (2013) Working group.</w:t>
      </w:r>
    </w:p>
    <w:p w14:paraId="1C072B00" w14:textId="77777777" w:rsidR="00427713" w:rsidRPr="001D6BFA" w:rsidRDefault="00427713"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CA3BDD4" w14:textId="3F5DCC8F" w:rsidR="00415CEE" w:rsidRPr="001D6BFA" w:rsidRDefault="00DA767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Table 7: List the number of events exceeding M4.5 and the maximum observed magnitude in each source zone and for each group of source zones.</w:t>
      </w:r>
    </w:p>
    <w:p w14:paraId="30B66EAB" w14:textId="322F69AF"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5FF62D79" w14:textId="497E9742" w:rsidR="00427713" w:rsidRPr="001D6BFA" w:rsidRDefault="00427713"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color w:val="00B050"/>
        </w:rPr>
      </w:pPr>
      <w:r w:rsidRPr="001D6BFA">
        <w:rPr>
          <w:rFonts w:eastAsia="Times New Roman" w:cs="Times New Roman"/>
          <w:b/>
          <w:color w:val="00B050"/>
        </w:rPr>
        <w:t>AR:</w:t>
      </w:r>
      <w:r w:rsidR="009D4E87" w:rsidRPr="001D6BFA">
        <w:rPr>
          <w:rFonts w:eastAsia="Times New Roman" w:cs="Times New Roman"/>
          <w:color w:val="000000" w:themeColor="text1"/>
        </w:rPr>
        <w:t xml:space="preserve">  </w:t>
      </w:r>
      <w:r w:rsidR="00381259" w:rsidRPr="001D6BFA">
        <w:rPr>
          <w:rFonts w:eastAsia="Times New Roman" w:cs="Times New Roman"/>
          <w:color w:val="000000" w:themeColor="text1"/>
        </w:rPr>
        <w:t xml:space="preserve">Please refer to our previous reply to </w:t>
      </w:r>
      <w:r w:rsidR="008F1742" w:rsidRPr="001D6BFA">
        <w:rPr>
          <w:rFonts w:eastAsia="Times New Roman" w:cs="Times New Roman"/>
          <w:color w:val="000000" w:themeColor="text1"/>
        </w:rPr>
        <w:t xml:space="preserve">Tale 7 and </w:t>
      </w:r>
      <w:r w:rsidR="00381259" w:rsidRPr="001D6BFA">
        <w:rPr>
          <w:rFonts w:eastAsia="Times New Roman" w:cs="Times New Roman"/>
          <w:color w:val="000000" w:themeColor="text1"/>
        </w:rPr>
        <w:t xml:space="preserve">Figure </w:t>
      </w:r>
      <w:r w:rsidR="008F1742" w:rsidRPr="001D6BFA">
        <w:rPr>
          <w:rFonts w:eastAsia="Times New Roman" w:cs="Times New Roman"/>
          <w:color w:val="000000" w:themeColor="text1"/>
        </w:rPr>
        <w:t>4</w:t>
      </w:r>
      <w:r w:rsidR="007760F5" w:rsidRPr="001D6BFA">
        <w:rPr>
          <w:rFonts w:eastAsia="Times New Roman" w:cs="Times New Roman"/>
          <w:color w:val="000000" w:themeColor="text1"/>
        </w:rPr>
        <w:t xml:space="preserve">, where we clarify </w:t>
      </w:r>
      <w:r w:rsidR="00CF6349" w:rsidRPr="001D6BFA">
        <w:rPr>
          <w:rFonts w:eastAsia="Times New Roman" w:cs="Times New Roman"/>
          <w:color w:val="000000" w:themeColor="text1"/>
        </w:rPr>
        <w:t>our point of view on the matter</w:t>
      </w:r>
      <w:r w:rsidR="007760F5" w:rsidRPr="001D6BFA">
        <w:rPr>
          <w:rFonts w:eastAsia="Times New Roman" w:cs="Times New Roman"/>
          <w:color w:val="000000" w:themeColor="text1"/>
        </w:rPr>
        <w:t>.</w:t>
      </w:r>
    </w:p>
    <w:p w14:paraId="27E76812" w14:textId="77777777" w:rsidR="00427713" w:rsidRPr="001D6BFA" w:rsidRDefault="00427713"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1C06B50" w14:textId="0C7D6092" w:rsidR="00415CEE" w:rsidRPr="001D6BFA" w:rsidRDefault="00DA767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b/>
          <w:color w:val="FF6600"/>
        </w:rPr>
        <w:t>R1</w:t>
      </w:r>
      <w:r w:rsidRPr="001D6BFA">
        <w:rPr>
          <w:b/>
          <w:color w:val="FF0000"/>
        </w:rPr>
        <w:t>:</w:t>
      </w:r>
      <w:r w:rsidRPr="001D6BFA">
        <w:t xml:space="preserve"> </w:t>
      </w:r>
      <w:r w:rsidR="00415CEE" w:rsidRPr="001D6BFA">
        <w:rPr>
          <w:rFonts w:eastAsia="Times New Roman" w:cs="Times New Roman"/>
        </w:rPr>
        <w:t>Table 8: The probabilities for Group 2 add to 0.8, not 1.</w:t>
      </w:r>
    </w:p>
    <w:p w14:paraId="2DE1CA0F" w14:textId="381AA644"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1695817" w14:textId="2E3C32EB" w:rsidR="00E1683C" w:rsidRPr="001D6BFA" w:rsidRDefault="00601BF7"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1D6BFA">
        <w:rPr>
          <w:rFonts w:eastAsia="Times New Roman" w:cs="Times New Roman"/>
          <w:b/>
          <w:color w:val="00B050"/>
        </w:rPr>
        <w:t>AR:</w:t>
      </w:r>
      <w:r w:rsidRPr="001D6BFA">
        <w:rPr>
          <w:rFonts w:eastAsia="Times New Roman" w:cs="Times New Roman"/>
          <w:color w:val="000000" w:themeColor="text1"/>
        </w:rPr>
        <w:t xml:space="preserve"> </w:t>
      </w:r>
      <w:r w:rsidR="00E64060" w:rsidRPr="001D6BFA">
        <w:rPr>
          <w:rFonts w:eastAsia="Times New Roman" w:cs="Times New Roman"/>
          <w:color w:val="000000" w:themeColor="text1"/>
        </w:rPr>
        <w:t xml:space="preserve">This was a typo. </w:t>
      </w:r>
      <w:r w:rsidR="007536DD" w:rsidRPr="001D6BFA">
        <w:rPr>
          <w:rFonts w:eastAsia="Times New Roman" w:cs="Times New Roman"/>
        </w:rPr>
        <w:t>The f</w:t>
      </w:r>
      <w:r w:rsidR="00C41BD0" w:rsidRPr="001D6BFA">
        <w:rPr>
          <w:rFonts w:eastAsia="Times New Roman" w:cs="Times New Roman"/>
        </w:rPr>
        <w:t xml:space="preserve">irst probability of group 2 </w:t>
      </w:r>
      <w:r w:rsidR="007536DD" w:rsidRPr="001D6BFA">
        <w:rPr>
          <w:rFonts w:eastAsia="Times New Roman" w:cs="Times New Roman"/>
        </w:rPr>
        <w:t xml:space="preserve">has been </w:t>
      </w:r>
      <w:r w:rsidR="00C41BD0" w:rsidRPr="001D6BFA">
        <w:rPr>
          <w:rFonts w:eastAsia="Times New Roman" w:cs="Times New Roman"/>
        </w:rPr>
        <w:t>c</w:t>
      </w:r>
      <w:r w:rsidR="00E1683C" w:rsidRPr="001D6BFA">
        <w:rPr>
          <w:rFonts w:eastAsia="Times New Roman" w:cs="Times New Roman"/>
        </w:rPr>
        <w:t>orrected to 0.4</w:t>
      </w:r>
      <w:r w:rsidR="000B7981" w:rsidRPr="001D6BFA">
        <w:rPr>
          <w:rFonts w:eastAsia="Times New Roman" w:cs="Times New Roman"/>
        </w:rPr>
        <w:t xml:space="preserve">, as </w:t>
      </w:r>
      <w:r w:rsidR="007536DD" w:rsidRPr="001D6BFA">
        <w:rPr>
          <w:rFonts w:eastAsia="Times New Roman" w:cs="Times New Roman"/>
        </w:rPr>
        <w:t xml:space="preserve">it </w:t>
      </w:r>
      <w:r w:rsidR="00A05C33" w:rsidRPr="001D6BFA">
        <w:rPr>
          <w:rFonts w:eastAsia="Times New Roman" w:cs="Times New Roman"/>
        </w:rPr>
        <w:t>is properly</w:t>
      </w:r>
      <w:r w:rsidR="007536DD" w:rsidRPr="001D6BFA">
        <w:rPr>
          <w:rFonts w:eastAsia="Times New Roman" w:cs="Times New Roman"/>
        </w:rPr>
        <w:t xml:space="preserve"> implemented </w:t>
      </w:r>
      <w:r w:rsidR="000B7981" w:rsidRPr="001D6BFA">
        <w:rPr>
          <w:rFonts w:eastAsia="Times New Roman" w:cs="Times New Roman"/>
        </w:rPr>
        <w:t>in the source model.</w:t>
      </w:r>
    </w:p>
    <w:p w14:paraId="4A116DCD"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19AE2ED6"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4A4787A8"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352C0F8C"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765D4DB1" w14:textId="77777777" w:rsidR="00415CEE" w:rsidRPr="001D6BFA" w:rsidRDefault="00415CEE"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4468B7EB" w14:textId="77777777" w:rsidR="0018676F" w:rsidRPr="001D6BFA" w:rsidRDefault="0018676F" w:rsidP="008A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2C4146D8" w14:textId="77777777" w:rsidR="0018676F" w:rsidRPr="001D6BFA" w:rsidRDefault="0018676F">
      <w:pPr>
        <w:rPr>
          <w:rFonts w:eastAsia="Times New Roman" w:cs="Times New Roman"/>
        </w:rPr>
      </w:pPr>
      <w:r w:rsidRPr="001D6BFA">
        <w:rPr>
          <w:rFonts w:eastAsia="Times New Roman" w:cs="Times New Roman"/>
        </w:rPr>
        <w:br w:type="page"/>
      </w:r>
    </w:p>
    <w:p w14:paraId="688B62FE" w14:textId="61A703B7" w:rsidR="0018676F" w:rsidRPr="001D6BFA" w:rsidRDefault="0018676F" w:rsidP="0018676F">
      <w:pPr>
        <w:jc w:val="both"/>
        <w:rPr>
          <w:b/>
          <w:sz w:val="36"/>
          <w:szCs w:val="36"/>
        </w:rPr>
      </w:pPr>
      <w:r w:rsidRPr="001D6BFA">
        <w:rPr>
          <w:b/>
          <w:sz w:val="36"/>
          <w:szCs w:val="36"/>
        </w:rPr>
        <w:lastRenderedPageBreak/>
        <w:t>Reply to Reviewer #2 Comments</w:t>
      </w:r>
    </w:p>
    <w:p w14:paraId="4661944C" w14:textId="77777777" w:rsidR="0018676F" w:rsidRPr="001D6BFA" w:rsidRDefault="0018676F" w:rsidP="0018676F">
      <w:pPr>
        <w:jc w:val="both"/>
      </w:pPr>
    </w:p>
    <w:p w14:paraId="6D9623F6" w14:textId="77777777" w:rsidR="0018676F" w:rsidRPr="001D6BFA" w:rsidRDefault="0018676F" w:rsidP="0018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14:paraId="6B090AE1" w14:textId="611C6199" w:rsidR="00997240" w:rsidRPr="001D6BFA" w:rsidRDefault="004E74C8" w:rsidP="00997240">
      <w:pPr>
        <w:jc w:val="both"/>
        <w:rPr>
          <w:rFonts w:cs="Times New Roman"/>
        </w:rPr>
      </w:pPr>
      <w:r w:rsidRPr="001D6BFA">
        <w:rPr>
          <w:b/>
          <w:color w:val="FF6600"/>
        </w:rPr>
        <w:t>R2</w:t>
      </w:r>
      <w:r w:rsidRPr="001D6BFA">
        <w:t xml:space="preserve">: </w:t>
      </w:r>
      <w:r w:rsidR="00997240" w:rsidRPr="001D6BFA">
        <w:rPr>
          <w:rFonts w:cs="Times New Roman"/>
        </w:rPr>
        <w:t>The paper describes the development of a hazard model covering North Africa as part of the worldwide mosaic of models being developed by the GEM Secretariat.</w:t>
      </w:r>
    </w:p>
    <w:p w14:paraId="54F35CC9" w14:textId="77777777" w:rsidR="00997240" w:rsidRPr="001D6BFA" w:rsidRDefault="00997240" w:rsidP="00997240">
      <w:pPr>
        <w:jc w:val="both"/>
        <w:rPr>
          <w:rFonts w:cs="Times New Roman"/>
        </w:rPr>
      </w:pPr>
      <w:r w:rsidRPr="001D6BFA">
        <w:rPr>
          <w:rFonts w:cs="Times New Roman"/>
        </w:rPr>
        <w:t>The paper is well written, pleasant to read, concise and with high quality illustration. The only remark on the form would be the absence of line numbering for review.</w:t>
      </w:r>
    </w:p>
    <w:p w14:paraId="173B7F63" w14:textId="77777777" w:rsidR="00997240" w:rsidRPr="001D6BFA" w:rsidRDefault="00997240" w:rsidP="00997240">
      <w:pPr>
        <w:jc w:val="both"/>
        <w:rPr>
          <w:rFonts w:cs="Times New Roman"/>
        </w:rPr>
      </w:pPr>
      <w:r w:rsidRPr="001D6BFA">
        <w:rPr>
          <w:rFonts w:cs="Times New Roman"/>
        </w:rPr>
        <w:t>To my opinion, there are a couple of details and sensitivity tests missing which would help to clarify a number of hypothesis and choices made by the authors.</w:t>
      </w:r>
    </w:p>
    <w:p w14:paraId="6092AFD0" w14:textId="77777777" w:rsidR="00997240" w:rsidRPr="001D6BFA" w:rsidRDefault="00997240" w:rsidP="00997240">
      <w:pPr>
        <w:jc w:val="both"/>
        <w:rPr>
          <w:rFonts w:cs="Times New Roman"/>
        </w:rPr>
      </w:pPr>
      <w:r w:rsidRPr="001D6BFA">
        <w:rPr>
          <w:rFonts w:cs="Times New Roman"/>
        </w:rPr>
        <w:t>Remarks and comments in the order of appearance in the manuscript are given below.</w:t>
      </w:r>
    </w:p>
    <w:p w14:paraId="6DA51CB7" w14:textId="071E9AD9" w:rsidR="00804654" w:rsidRPr="001D6BFA" w:rsidRDefault="00804654" w:rsidP="00997240">
      <w:pPr>
        <w:jc w:val="both"/>
        <w:rPr>
          <w:rFonts w:cs="Times New Roman"/>
        </w:rPr>
      </w:pPr>
    </w:p>
    <w:p w14:paraId="3C27316D" w14:textId="4074ACEA" w:rsidR="000A64CC" w:rsidRPr="001D6BFA" w:rsidRDefault="000A64CC" w:rsidP="00997240">
      <w:pPr>
        <w:jc w:val="both"/>
      </w:pPr>
      <w:r w:rsidRPr="001D6BFA">
        <w:rPr>
          <w:b/>
          <w:color w:val="008000"/>
        </w:rPr>
        <w:t>AR</w:t>
      </w:r>
      <w:r w:rsidRPr="001D6BFA">
        <w:t>: The reviewer raised a number of important issues that</w:t>
      </w:r>
      <w:r w:rsidR="003646F6" w:rsidRPr="001D6BFA">
        <w:t xml:space="preserve"> are</w:t>
      </w:r>
      <w:r w:rsidRPr="001D6BFA">
        <w:t xml:space="preserve"> certainly relevant to improve the clarity and transparency of the present work to the scientific community. </w:t>
      </w:r>
      <w:r w:rsidR="000074B6" w:rsidRPr="001D6BFA">
        <w:t xml:space="preserve">We are grateful for that. </w:t>
      </w:r>
      <w:r w:rsidRPr="001D6BFA">
        <w:t>It is our hope to have exhaustively addressed all the relevant issues in this reply and within this new revision of the manuscript.</w:t>
      </w:r>
    </w:p>
    <w:p w14:paraId="02E36385" w14:textId="77777777" w:rsidR="000A64CC" w:rsidRPr="001D6BFA" w:rsidRDefault="000A64CC" w:rsidP="00997240">
      <w:pPr>
        <w:jc w:val="both"/>
        <w:rPr>
          <w:rFonts w:cs="Times New Roman"/>
        </w:rPr>
      </w:pPr>
    </w:p>
    <w:p w14:paraId="766F96E6" w14:textId="2B0D9341" w:rsidR="00997240" w:rsidRPr="001D6BFA" w:rsidRDefault="00997240" w:rsidP="00997240">
      <w:pPr>
        <w:jc w:val="both"/>
        <w:rPr>
          <w:rFonts w:cs="Times New Roman"/>
          <w:b/>
        </w:rPr>
      </w:pPr>
      <w:r w:rsidRPr="001D6BFA">
        <w:rPr>
          <w:rFonts w:cs="Times New Roman"/>
          <w:b/>
        </w:rPr>
        <w:t xml:space="preserve">Section 2 </w:t>
      </w:r>
      <w:proofErr w:type="spellStart"/>
      <w:r w:rsidRPr="001D6BFA">
        <w:rPr>
          <w:rFonts w:cs="Times New Roman"/>
          <w:b/>
        </w:rPr>
        <w:t>Seismotectonic</w:t>
      </w:r>
      <w:proofErr w:type="spellEnd"/>
      <w:r w:rsidRPr="001D6BFA">
        <w:rPr>
          <w:rFonts w:cs="Times New Roman"/>
          <w:b/>
        </w:rPr>
        <w:t xml:space="preserve"> settings</w:t>
      </w:r>
    </w:p>
    <w:p w14:paraId="31FCFBAD" w14:textId="01882237"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 xml:space="preserve">A </w:t>
      </w:r>
      <w:proofErr w:type="spellStart"/>
      <w:r w:rsidR="00997240" w:rsidRPr="001D6BFA">
        <w:rPr>
          <w:rFonts w:cs="Times New Roman"/>
        </w:rPr>
        <w:t>seismotectonic</w:t>
      </w:r>
      <w:proofErr w:type="spellEnd"/>
      <w:r w:rsidR="00997240" w:rsidRPr="001D6BFA">
        <w:rPr>
          <w:rFonts w:cs="Times New Roman"/>
        </w:rPr>
        <w:t xml:space="preserve"> map of the region with the names of the main structures and regions would help to follow the description of the context given in the whole section.</w:t>
      </w:r>
    </w:p>
    <w:p w14:paraId="75CA1CDB" w14:textId="16D0724D" w:rsidR="00997240" w:rsidRPr="001D6BFA" w:rsidRDefault="00997240" w:rsidP="00997240">
      <w:pPr>
        <w:jc w:val="both"/>
        <w:rPr>
          <w:rFonts w:cs="Times New Roman"/>
        </w:rPr>
      </w:pPr>
    </w:p>
    <w:p w14:paraId="55BDB29D" w14:textId="3DAF7CC8" w:rsidR="007A5A3D" w:rsidRDefault="007A5A3D" w:rsidP="00997240">
      <w:pPr>
        <w:jc w:val="both"/>
        <w:rPr>
          <w:color w:val="000000" w:themeColor="text1"/>
        </w:rPr>
      </w:pPr>
      <w:r w:rsidRPr="001D6BFA">
        <w:rPr>
          <w:b/>
          <w:color w:val="008000"/>
        </w:rPr>
        <w:t xml:space="preserve">AR: </w:t>
      </w:r>
      <w:r w:rsidR="003E6E0C">
        <w:rPr>
          <w:color w:val="000000" w:themeColor="text1"/>
        </w:rPr>
        <w:t>Although we understand the rationale of the reviewer, it is our opinion</w:t>
      </w:r>
      <w:r w:rsidR="00677B49" w:rsidRPr="00677B49">
        <w:rPr>
          <w:color w:val="000000" w:themeColor="text1"/>
        </w:rPr>
        <w:t xml:space="preserve"> that</w:t>
      </w:r>
      <w:r w:rsidR="00677B49">
        <w:rPr>
          <w:color w:val="000000" w:themeColor="text1"/>
        </w:rPr>
        <w:t xml:space="preserve"> a </w:t>
      </w:r>
      <w:proofErr w:type="spellStart"/>
      <w:r w:rsidR="00677B49">
        <w:rPr>
          <w:color w:val="000000" w:themeColor="text1"/>
        </w:rPr>
        <w:t>sismotectonic</w:t>
      </w:r>
      <w:proofErr w:type="spellEnd"/>
      <w:r w:rsidR="00677B49">
        <w:rPr>
          <w:color w:val="000000" w:themeColor="text1"/>
        </w:rPr>
        <w:t xml:space="preserve"> map would </w:t>
      </w:r>
      <w:r w:rsidR="003E6E0C">
        <w:rPr>
          <w:color w:val="000000" w:themeColor="text1"/>
        </w:rPr>
        <w:t xml:space="preserve">definitely </w:t>
      </w:r>
      <w:r w:rsidR="00677B49">
        <w:rPr>
          <w:color w:val="000000" w:themeColor="text1"/>
        </w:rPr>
        <w:t>overload the article</w:t>
      </w:r>
      <w:r w:rsidR="00A84E23">
        <w:rPr>
          <w:color w:val="000000" w:themeColor="text1"/>
        </w:rPr>
        <w:t xml:space="preserve">, </w:t>
      </w:r>
      <w:r w:rsidR="00677B49">
        <w:rPr>
          <w:color w:val="000000" w:themeColor="text1"/>
        </w:rPr>
        <w:t xml:space="preserve">already quite dense of information. </w:t>
      </w:r>
      <w:r w:rsidR="007C2464">
        <w:rPr>
          <w:color w:val="000000" w:themeColor="text1"/>
        </w:rPr>
        <w:t>W</w:t>
      </w:r>
      <w:r w:rsidR="00677B49">
        <w:rPr>
          <w:color w:val="000000" w:themeColor="text1"/>
        </w:rPr>
        <w:t xml:space="preserve">e believe that a number of appropriate </w:t>
      </w:r>
      <w:r w:rsidR="007C2464">
        <w:rPr>
          <w:color w:val="000000" w:themeColor="text1"/>
        </w:rPr>
        <w:t xml:space="preserve">literature </w:t>
      </w:r>
      <w:r w:rsidR="00677B49">
        <w:rPr>
          <w:color w:val="000000" w:themeColor="text1"/>
        </w:rPr>
        <w:t xml:space="preserve">references </w:t>
      </w:r>
      <w:r w:rsidR="00C47768">
        <w:rPr>
          <w:color w:val="000000" w:themeColor="text1"/>
        </w:rPr>
        <w:t>were</w:t>
      </w:r>
      <w:r w:rsidR="00677B49">
        <w:rPr>
          <w:color w:val="000000" w:themeColor="text1"/>
        </w:rPr>
        <w:t xml:space="preserve"> provided to facilitate he reader in </w:t>
      </w:r>
      <w:r w:rsidR="00C47768">
        <w:rPr>
          <w:color w:val="000000" w:themeColor="text1"/>
        </w:rPr>
        <w:t>identifying</w:t>
      </w:r>
      <w:r w:rsidR="00677B49">
        <w:rPr>
          <w:color w:val="000000" w:themeColor="text1"/>
        </w:rPr>
        <w:t xml:space="preserve"> the major structures</w:t>
      </w:r>
      <w:r w:rsidR="007C2464">
        <w:rPr>
          <w:color w:val="000000" w:themeColor="text1"/>
        </w:rPr>
        <w:t>, if necessary.</w:t>
      </w:r>
    </w:p>
    <w:p w14:paraId="290FBF13" w14:textId="4CA23400" w:rsidR="008851CD" w:rsidRPr="001D6BFA" w:rsidRDefault="008851CD" w:rsidP="00997240">
      <w:pPr>
        <w:jc w:val="both"/>
        <w:rPr>
          <w:rFonts w:cs="Times New Roman"/>
        </w:rPr>
      </w:pPr>
      <w:r>
        <w:rPr>
          <w:rFonts w:cs="Times New Roman"/>
        </w:rPr>
        <w:t xml:space="preserve">We have nonetheless added a second panel to figure 2, according to </w:t>
      </w:r>
      <w:r w:rsidR="007D25BC">
        <w:rPr>
          <w:rFonts w:cs="Times New Roman"/>
        </w:rPr>
        <w:t xml:space="preserve">reviewer suggestion below, to </w:t>
      </w:r>
      <w:r w:rsidR="00635DE6">
        <w:rPr>
          <w:rFonts w:cs="Times New Roman"/>
        </w:rPr>
        <w:t>also show</w:t>
      </w:r>
      <w:r w:rsidR="007D25BC">
        <w:rPr>
          <w:rFonts w:cs="Times New Roman"/>
        </w:rPr>
        <w:t xml:space="preserve"> the modelled tectonic </w:t>
      </w:r>
      <w:r w:rsidR="00CD54C7">
        <w:rPr>
          <w:rFonts w:cs="Times New Roman"/>
        </w:rPr>
        <w:t>features</w:t>
      </w:r>
      <w:r w:rsidR="007D25BC">
        <w:rPr>
          <w:rFonts w:cs="Times New Roman"/>
        </w:rPr>
        <w:t xml:space="preserve"> of the North-Eastern </w:t>
      </w:r>
      <w:r w:rsidR="002A5E1A">
        <w:rPr>
          <w:rFonts w:cs="Times New Roman"/>
        </w:rPr>
        <w:t xml:space="preserve">part of </w:t>
      </w:r>
      <w:r w:rsidR="007D25BC">
        <w:rPr>
          <w:rFonts w:cs="Times New Roman"/>
        </w:rPr>
        <w:t>Africa.</w:t>
      </w:r>
    </w:p>
    <w:p w14:paraId="09258EE1" w14:textId="77777777" w:rsidR="007A5A3D" w:rsidRPr="001D6BFA" w:rsidRDefault="007A5A3D" w:rsidP="00997240">
      <w:pPr>
        <w:jc w:val="both"/>
        <w:rPr>
          <w:rFonts w:cs="Times New Roman"/>
        </w:rPr>
      </w:pPr>
    </w:p>
    <w:p w14:paraId="514FFB15" w14:textId="4D093885" w:rsidR="00997240" w:rsidRPr="001D6BFA" w:rsidRDefault="00997240" w:rsidP="00997240">
      <w:pPr>
        <w:jc w:val="both"/>
        <w:rPr>
          <w:rFonts w:cs="Times New Roman"/>
          <w:b/>
        </w:rPr>
      </w:pPr>
      <w:r w:rsidRPr="001D6BFA">
        <w:rPr>
          <w:rFonts w:cs="Times New Roman"/>
          <w:b/>
        </w:rPr>
        <w:t>Section 2.1.1 Morocco</w:t>
      </w:r>
    </w:p>
    <w:p w14:paraId="0460294D" w14:textId="6DE57EC5"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Third paragraph, second line: “</w:t>
      </w:r>
      <w:proofErr w:type="spellStart"/>
      <w:r w:rsidR="00997240" w:rsidRPr="001D6BFA">
        <w:rPr>
          <w:rFonts w:cs="Times New Roman"/>
        </w:rPr>
        <w:t>Aboran</w:t>
      </w:r>
      <w:proofErr w:type="spellEnd"/>
      <w:r w:rsidR="00997240" w:rsidRPr="001D6BFA">
        <w:rPr>
          <w:rFonts w:cs="Times New Roman"/>
        </w:rPr>
        <w:t xml:space="preserve"> Sea” should read “</w:t>
      </w:r>
      <w:proofErr w:type="spellStart"/>
      <w:r w:rsidR="00997240" w:rsidRPr="001D6BFA">
        <w:rPr>
          <w:rFonts w:cs="Times New Roman"/>
        </w:rPr>
        <w:t>Alboran</w:t>
      </w:r>
      <w:proofErr w:type="spellEnd"/>
      <w:r w:rsidR="00997240" w:rsidRPr="001D6BFA">
        <w:rPr>
          <w:rFonts w:cs="Times New Roman"/>
        </w:rPr>
        <w:t xml:space="preserve"> Sea”</w:t>
      </w:r>
    </w:p>
    <w:p w14:paraId="5D03213D" w14:textId="19BC24E6" w:rsidR="00997240" w:rsidRPr="001D6BFA" w:rsidRDefault="00997240" w:rsidP="00997240">
      <w:pPr>
        <w:jc w:val="both"/>
        <w:rPr>
          <w:rFonts w:cs="Times New Roman"/>
        </w:rPr>
      </w:pPr>
    </w:p>
    <w:p w14:paraId="61E051B0" w14:textId="009A4743" w:rsidR="007A5A3D" w:rsidRPr="001D6BFA" w:rsidRDefault="007A5A3D" w:rsidP="00997240">
      <w:pPr>
        <w:jc w:val="both"/>
        <w:rPr>
          <w:rFonts w:cs="Times New Roman"/>
        </w:rPr>
      </w:pPr>
      <w:r w:rsidRPr="001D6BFA">
        <w:rPr>
          <w:b/>
          <w:color w:val="008000"/>
        </w:rPr>
        <w:t>AR:</w:t>
      </w:r>
      <w:r w:rsidRPr="001D6BFA">
        <w:rPr>
          <w:color w:val="000000" w:themeColor="text1"/>
        </w:rPr>
        <w:t xml:space="preserve"> </w:t>
      </w:r>
      <w:r w:rsidR="00C63FB3" w:rsidRPr="001D6BFA">
        <w:rPr>
          <w:color w:val="000000" w:themeColor="text1"/>
        </w:rPr>
        <w:t>Corrected</w:t>
      </w:r>
    </w:p>
    <w:p w14:paraId="2EE3F0EE" w14:textId="77777777" w:rsidR="007A5A3D" w:rsidRPr="001D6BFA" w:rsidRDefault="007A5A3D" w:rsidP="00997240">
      <w:pPr>
        <w:jc w:val="both"/>
        <w:rPr>
          <w:rFonts w:cs="Times New Roman"/>
        </w:rPr>
      </w:pPr>
    </w:p>
    <w:p w14:paraId="781D2C30" w14:textId="65C1F5E4" w:rsidR="00997240" w:rsidRPr="001D6BFA" w:rsidRDefault="00997240" w:rsidP="00997240">
      <w:pPr>
        <w:jc w:val="both"/>
        <w:rPr>
          <w:rFonts w:cs="Times New Roman"/>
          <w:b/>
        </w:rPr>
      </w:pPr>
      <w:r w:rsidRPr="001D6BFA">
        <w:rPr>
          <w:rFonts w:cs="Times New Roman"/>
          <w:b/>
        </w:rPr>
        <w:t>Section 4 Catalogue</w:t>
      </w:r>
    </w:p>
    <w:p w14:paraId="123516A4" w14:textId="5ADE2DCE"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 xml:space="preserve">While the introduction states that the catalogue has been assembled from globally and locally available sources, the actual sources are mainly global and regional (EMEC). The only local source is the IGN catalogue from Spain. There are a couple of relatively recent publications related to earthquake catalogues for Algeria (Harbi, A., </w:t>
      </w:r>
      <w:proofErr w:type="spellStart"/>
      <w:r w:rsidR="00997240" w:rsidRPr="001D6BFA">
        <w:rPr>
          <w:rFonts w:cs="Times New Roman"/>
        </w:rPr>
        <w:t>Peresan</w:t>
      </w:r>
      <w:proofErr w:type="spellEnd"/>
      <w:r w:rsidR="00997240" w:rsidRPr="001D6BFA">
        <w:rPr>
          <w:rFonts w:cs="Times New Roman"/>
        </w:rPr>
        <w:t xml:space="preserve">, A. &amp; </w:t>
      </w:r>
      <w:proofErr w:type="spellStart"/>
      <w:r w:rsidR="00997240" w:rsidRPr="001D6BFA">
        <w:rPr>
          <w:rFonts w:cs="Times New Roman"/>
        </w:rPr>
        <w:t>Panza</w:t>
      </w:r>
      <w:proofErr w:type="spellEnd"/>
      <w:r w:rsidR="00997240" w:rsidRPr="001D6BFA">
        <w:rPr>
          <w:rFonts w:cs="Times New Roman"/>
        </w:rPr>
        <w:t xml:space="preserve">, G.F. Nat Hazards (2010) 54: 725. https://doi.org/10.1007/s11069-009-9497-6; M. </w:t>
      </w:r>
      <w:proofErr w:type="spellStart"/>
      <w:r w:rsidR="00997240" w:rsidRPr="001D6BFA">
        <w:rPr>
          <w:rFonts w:cs="Times New Roman"/>
        </w:rPr>
        <w:t>Hamdache</w:t>
      </w:r>
      <w:proofErr w:type="spellEnd"/>
      <w:r w:rsidR="00997240" w:rsidRPr="001D6BFA">
        <w:rPr>
          <w:rFonts w:cs="Times New Roman"/>
        </w:rPr>
        <w:t xml:space="preserve">, José A. </w:t>
      </w:r>
      <w:proofErr w:type="spellStart"/>
      <w:r w:rsidR="00997240" w:rsidRPr="001D6BFA">
        <w:rPr>
          <w:rFonts w:cs="Times New Roman"/>
        </w:rPr>
        <w:t>Peláez</w:t>
      </w:r>
      <w:proofErr w:type="spellEnd"/>
      <w:r w:rsidR="00997240" w:rsidRPr="001D6BFA">
        <w:rPr>
          <w:rFonts w:cs="Times New Roman"/>
        </w:rPr>
        <w:t xml:space="preserve">, A. </w:t>
      </w:r>
      <w:proofErr w:type="spellStart"/>
      <w:r w:rsidR="00997240" w:rsidRPr="001D6BFA">
        <w:rPr>
          <w:rFonts w:cs="Times New Roman"/>
        </w:rPr>
        <w:t>Talbi</w:t>
      </w:r>
      <w:proofErr w:type="spellEnd"/>
      <w:r w:rsidR="00997240" w:rsidRPr="001D6BFA">
        <w:rPr>
          <w:rFonts w:cs="Times New Roman"/>
        </w:rPr>
        <w:t xml:space="preserve">, C. </w:t>
      </w:r>
      <w:proofErr w:type="spellStart"/>
      <w:r w:rsidR="00997240" w:rsidRPr="001D6BFA">
        <w:rPr>
          <w:rFonts w:cs="Times New Roman"/>
        </w:rPr>
        <w:t>López</w:t>
      </w:r>
      <w:proofErr w:type="spellEnd"/>
      <w:r w:rsidR="00997240" w:rsidRPr="001D6BFA">
        <w:rPr>
          <w:rFonts w:cs="Times New Roman"/>
        </w:rPr>
        <w:t xml:space="preserve"> Casado; A Unified </w:t>
      </w:r>
      <w:proofErr w:type="spellStart"/>
      <w:r w:rsidR="00997240" w:rsidRPr="001D6BFA">
        <w:rPr>
          <w:rFonts w:cs="Times New Roman"/>
        </w:rPr>
        <w:t>Catalog</w:t>
      </w:r>
      <w:proofErr w:type="spellEnd"/>
      <w:r w:rsidR="00997240" w:rsidRPr="001D6BFA">
        <w:rPr>
          <w:rFonts w:cs="Times New Roman"/>
        </w:rPr>
        <w:t xml:space="preserve"> of Main Earthquakes for Northern Algeria from A.D. 856 to 2008. Seismological Research </w:t>
      </w:r>
      <w:proofErr w:type="gramStart"/>
      <w:r w:rsidR="00997240" w:rsidRPr="001D6BFA">
        <w:rPr>
          <w:rFonts w:cs="Times New Roman"/>
        </w:rPr>
        <w:t>Letters ;</w:t>
      </w:r>
      <w:proofErr w:type="gramEnd"/>
      <w:r w:rsidR="00997240" w:rsidRPr="001D6BFA">
        <w:rPr>
          <w:rFonts w:cs="Times New Roman"/>
        </w:rPr>
        <w:t xml:space="preserve"> 81 (5): 732–739. </w:t>
      </w:r>
      <w:proofErr w:type="spellStart"/>
      <w:r w:rsidR="00997240" w:rsidRPr="001D6BFA">
        <w:rPr>
          <w:rFonts w:cs="Times New Roman"/>
        </w:rPr>
        <w:t>doi</w:t>
      </w:r>
      <w:proofErr w:type="spellEnd"/>
      <w:r w:rsidR="00997240" w:rsidRPr="001D6BFA">
        <w:rPr>
          <w:rFonts w:cs="Times New Roman"/>
        </w:rPr>
        <w:t>: https://doi.org/10.1785/gssrl.81.5.732). Have these kinds of local sources been considered?</w:t>
      </w:r>
    </w:p>
    <w:p w14:paraId="4CD6856F" w14:textId="77777777" w:rsidR="007A5A3D" w:rsidRPr="001D6BFA" w:rsidRDefault="007A5A3D" w:rsidP="007A5A3D">
      <w:pPr>
        <w:jc w:val="both"/>
        <w:rPr>
          <w:b/>
          <w:color w:val="008000"/>
        </w:rPr>
      </w:pPr>
    </w:p>
    <w:p w14:paraId="2F3076E7" w14:textId="51E8C4E5" w:rsidR="00997240" w:rsidRPr="001D6BFA" w:rsidRDefault="009A5048" w:rsidP="00997240">
      <w:pPr>
        <w:jc w:val="both"/>
        <w:rPr>
          <w:b/>
          <w:color w:val="008000"/>
        </w:rPr>
      </w:pPr>
      <w:r w:rsidRPr="001D6BFA">
        <w:rPr>
          <w:b/>
          <w:color w:val="008000"/>
        </w:rPr>
        <w:t>AR:</w:t>
      </w:r>
      <w:r w:rsidR="006F1510" w:rsidRPr="001D6BFA">
        <w:rPr>
          <w:color w:val="000000" w:themeColor="text1"/>
        </w:rPr>
        <w:t xml:space="preserve"> Yes, we have considered </w:t>
      </w:r>
      <w:r w:rsidR="00C77B9C" w:rsidRPr="001D6BFA">
        <w:rPr>
          <w:color w:val="000000" w:themeColor="text1"/>
        </w:rPr>
        <w:t>these</w:t>
      </w:r>
      <w:r w:rsidR="006F1510" w:rsidRPr="001D6BFA">
        <w:rPr>
          <w:color w:val="000000" w:themeColor="text1"/>
        </w:rPr>
        <w:t xml:space="preserve"> studies</w:t>
      </w:r>
      <w:r w:rsidR="00383E7B" w:rsidRPr="001D6BFA">
        <w:rPr>
          <w:color w:val="000000" w:themeColor="text1"/>
        </w:rPr>
        <w:t xml:space="preserve"> in our </w:t>
      </w:r>
      <w:r w:rsidR="00C77B9C" w:rsidRPr="001D6BFA">
        <w:rPr>
          <w:color w:val="000000" w:themeColor="text1"/>
        </w:rPr>
        <w:t>preliminary</w:t>
      </w:r>
      <w:r w:rsidR="00383E7B" w:rsidRPr="001D6BFA">
        <w:rPr>
          <w:color w:val="000000" w:themeColor="text1"/>
        </w:rPr>
        <w:t xml:space="preserve"> investigation, as well as other </w:t>
      </w:r>
      <w:r w:rsidR="00282B62" w:rsidRPr="001D6BFA">
        <w:rPr>
          <w:color w:val="000000" w:themeColor="text1"/>
        </w:rPr>
        <w:t xml:space="preserve">minor </w:t>
      </w:r>
      <w:r w:rsidR="00383E7B" w:rsidRPr="001D6BFA">
        <w:rPr>
          <w:color w:val="000000" w:themeColor="text1"/>
        </w:rPr>
        <w:t>local studies for Algeria, Tunisia and Egypt</w:t>
      </w:r>
      <w:r w:rsidR="00947ADC" w:rsidRPr="001D6BFA">
        <w:rPr>
          <w:color w:val="000000" w:themeColor="text1"/>
        </w:rPr>
        <w:t xml:space="preserve">, </w:t>
      </w:r>
      <w:r w:rsidR="0084063E" w:rsidRPr="001D6BFA">
        <w:rPr>
          <w:color w:val="000000" w:themeColor="text1"/>
        </w:rPr>
        <w:t>which</w:t>
      </w:r>
      <w:r w:rsidR="00947ADC" w:rsidRPr="001D6BFA">
        <w:rPr>
          <w:color w:val="000000" w:themeColor="text1"/>
        </w:rPr>
        <w:t xml:space="preserve"> have been discarded </w:t>
      </w:r>
      <w:r w:rsidR="0084063E" w:rsidRPr="001D6BFA">
        <w:rPr>
          <w:color w:val="000000" w:themeColor="text1"/>
        </w:rPr>
        <w:t xml:space="preserve">for various reasons (e.g. </w:t>
      </w:r>
      <w:r w:rsidR="00023DB2" w:rsidRPr="001D6BFA">
        <w:rPr>
          <w:color w:val="000000" w:themeColor="text1"/>
        </w:rPr>
        <w:t xml:space="preserve">licensing, </w:t>
      </w:r>
      <w:r w:rsidR="0084063E" w:rsidRPr="001D6BFA">
        <w:rPr>
          <w:color w:val="000000" w:themeColor="text1"/>
        </w:rPr>
        <w:t xml:space="preserve">unavailability or </w:t>
      </w:r>
      <w:proofErr w:type="spellStart"/>
      <w:r w:rsidR="0084063E" w:rsidRPr="001D6BFA">
        <w:rPr>
          <w:color w:val="000000" w:themeColor="text1"/>
        </w:rPr>
        <w:t>unusability</w:t>
      </w:r>
      <w:proofErr w:type="spellEnd"/>
      <w:r w:rsidR="0084063E" w:rsidRPr="001D6BFA">
        <w:rPr>
          <w:color w:val="000000" w:themeColor="text1"/>
        </w:rPr>
        <w:t xml:space="preserve"> of the published results, redundancy </w:t>
      </w:r>
      <w:r w:rsidR="00726B4C" w:rsidRPr="001D6BFA">
        <w:rPr>
          <w:color w:val="000000" w:themeColor="text1"/>
        </w:rPr>
        <w:t xml:space="preserve">or concurrency </w:t>
      </w:r>
      <w:r w:rsidR="0084063E" w:rsidRPr="001D6BFA">
        <w:rPr>
          <w:color w:val="000000" w:themeColor="text1"/>
        </w:rPr>
        <w:t>of the input information to other considered sources, extension of the investigated area etc.)</w:t>
      </w:r>
    </w:p>
    <w:p w14:paraId="1FB30259" w14:textId="77777777" w:rsidR="009A5048" w:rsidRPr="001D6BFA" w:rsidRDefault="009A5048" w:rsidP="00997240">
      <w:pPr>
        <w:jc w:val="both"/>
        <w:rPr>
          <w:rFonts w:cs="Times New Roman"/>
        </w:rPr>
      </w:pPr>
    </w:p>
    <w:p w14:paraId="19B245F5" w14:textId="5C1F1333" w:rsidR="00997240" w:rsidRPr="001D6BFA" w:rsidRDefault="00997240" w:rsidP="00997240">
      <w:pPr>
        <w:jc w:val="both"/>
        <w:rPr>
          <w:rFonts w:cs="Times New Roman"/>
          <w:b/>
        </w:rPr>
      </w:pPr>
      <w:r w:rsidRPr="001D6BFA">
        <w:rPr>
          <w:rFonts w:cs="Times New Roman"/>
          <w:b/>
        </w:rPr>
        <w:t>Section 4.2 Hypocentral location selection</w:t>
      </w:r>
    </w:p>
    <w:p w14:paraId="67327A34" w14:textId="4553586B" w:rsidR="00997240" w:rsidRPr="001D6BFA" w:rsidRDefault="00DC2C12" w:rsidP="00997240">
      <w:pPr>
        <w:jc w:val="both"/>
        <w:rPr>
          <w:rFonts w:cs="Times New Roman"/>
        </w:rPr>
      </w:pPr>
      <w:r w:rsidRPr="001D6BFA">
        <w:rPr>
          <w:b/>
          <w:color w:val="FF6600"/>
        </w:rPr>
        <w:lastRenderedPageBreak/>
        <w:t>R2</w:t>
      </w:r>
      <w:r w:rsidRPr="001D6BFA">
        <w:t xml:space="preserve">: </w:t>
      </w:r>
      <w:r w:rsidR="00997240" w:rsidRPr="001D6BFA">
        <w:rPr>
          <w:rFonts w:cs="Times New Roman"/>
        </w:rPr>
        <w:t>End of first paragraph Table 2 is cited while Table 1 comes in the next paragraph. Usage is usually to number in order of appearance.</w:t>
      </w:r>
    </w:p>
    <w:p w14:paraId="61295418" w14:textId="5CC9D255" w:rsidR="00997240" w:rsidRPr="001D6BFA" w:rsidRDefault="00997240" w:rsidP="00997240">
      <w:pPr>
        <w:jc w:val="both"/>
        <w:rPr>
          <w:rFonts w:cs="Times New Roman"/>
        </w:rPr>
      </w:pPr>
    </w:p>
    <w:p w14:paraId="4596ED02" w14:textId="74434CB9" w:rsidR="007A5A3D" w:rsidRPr="001D6BFA" w:rsidRDefault="009A5048" w:rsidP="00997240">
      <w:pPr>
        <w:jc w:val="both"/>
        <w:rPr>
          <w:color w:val="000000" w:themeColor="text1"/>
        </w:rPr>
      </w:pPr>
      <w:r w:rsidRPr="001D6BFA">
        <w:rPr>
          <w:b/>
          <w:color w:val="008000"/>
        </w:rPr>
        <w:t>AR:</w:t>
      </w:r>
      <w:r w:rsidR="00437322" w:rsidRPr="001D6BFA">
        <w:rPr>
          <w:color w:val="000000" w:themeColor="text1"/>
        </w:rPr>
        <w:t xml:space="preserve"> Corrected. The reference to Table 1 was </w:t>
      </w:r>
      <w:r w:rsidR="00AE68C2" w:rsidRPr="001D6BFA">
        <w:rPr>
          <w:color w:val="000000" w:themeColor="text1"/>
        </w:rPr>
        <w:t xml:space="preserve">indeed </w:t>
      </w:r>
      <w:r w:rsidR="00437322" w:rsidRPr="001D6BFA">
        <w:rPr>
          <w:color w:val="000000" w:themeColor="text1"/>
        </w:rPr>
        <w:t xml:space="preserve">missing from </w:t>
      </w:r>
      <w:r w:rsidR="00E84D91" w:rsidRPr="001D6BFA">
        <w:rPr>
          <w:color w:val="000000" w:themeColor="text1"/>
        </w:rPr>
        <w:t>Section 4.1.</w:t>
      </w:r>
    </w:p>
    <w:p w14:paraId="4E436D97" w14:textId="77777777" w:rsidR="009A5048" w:rsidRPr="001D6BFA" w:rsidRDefault="009A5048" w:rsidP="00997240">
      <w:pPr>
        <w:jc w:val="both"/>
        <w:rPr>
          <w:rFonts w:cs="Times New Roman"/>
        </w:rPr>
      </w:pPr>
    </w:p>
    <w:p w14:paraId="1687118F" w14:textId="714E3A8E" w:rsidR="00997240" w:rsidRPr="001D6BFA" w:rsidRDefault="00997240" w:rsidP="00997240">
      <w:pPr>
        <w:jc w:val="both"/>
        <w:rPr>
          <w:rFonts w:cs="Times New Roman"/>
          <w:b/>
        </w:rPr>
      </w:pPr>
      <w:r w:rsidRPr="001D6BFA">
        <w:rPr>
          <w:rFonts w:cs="Times New Roman"/>
          <w:b/>
        </w:rPr>
        <w:t>Section 4.3 Duplicates</w:t>
      </w:r>
    </w:p>
    <w:p w14:paraId="56B9474E" w14:textId="050171B9"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 xml:space="preserve">Second paragraph: To address the trade-off between identification of duplicate events and the fraction of independent events erroneously identified as duplicates, the authors state that window size (space and time) is manually adjusted to obtain the best trade-off. What is the method actually used to select the “best” window? Is it based on manual review of the identified duplicates? Are there any measures of the trade-off eventually based on known aftershock sequences? In the following the authors state the erroneously identified duplicates are mostly aftershocks which would in any case be removed by the </w:t>
      </w:r>
      <w:proofErr w:type="spellStart"/>
      <w:r w:rsidR="00997240" w:rsidRPr="001D6BFA">
        <w:rPr>
          <w:rFonts w:cs="Times New Roman"/>
        </w:rPr>
        <w:t>declustering</w:t>
      </w:r>
      <w:proofErr w:type="spellEnd"/>
      <w:r w:rsidR="00997240" w:rsidRPr="001D6BFA">
        <w:rPr>
          <w:rFonts w:cs="Times New Roman"/>
        </w:rPr>
        <w:t xml:space="preserve">, however, their removal at the duplicate identification stage will impact the </w:t>
      </w:r>
      <w:proofErr w:type="spellStart"/>
      <w:r w:rsidR="00997240" w:rsidRPr="001D6BFA">
        <w:rPr>
          <w:rFonts w:cs="Times New Roman"/>
        </w:rPr>
        <w:t>declustering</w:t>
      </w:r>
      <w:proofErr w:type="spellEnd"/>
      <w:r w:rsidR="00997240" w:rsidRPr="001D6BFA">
        <w:rPr>
          <w:rFonts w:cs="Times New Roman"/>
        </w:rPr>
        <w:t>. This is more a comment than a remark.</w:t>
      </w:r>
    </w:p>
    <w:p w14:paraId="1CF1698F" w14:textId="77777777" w:rsidR="00997240" w:rsidRPr="001D6BFA" w:rsidRDefault="00997240" w:rsidP="00997240">
      <w:pPr>
        <w:jc w:val="both"/>
        <w:rPr>
          <w:rFonts w:cs="Times New Roman"/>
        </w:rPr>
      </w:pPr>
      <w:r w:rsidRPr="001D6BFA">
        <w:rPr>
          <w:rFonts w:cs="Times New Roman"/>
        </w:rPr>
        <w:t>Regarding the size of the windows for the different periods: for historical seismicity, are all the events known by month and day in the catalogue? Since the time difference is set to 2 days, they have to be. For the instrumental period, 120 second time difference seems large. Origin time is relatively well constrained, much more than location for instrumental events. More details on the selection of the numbers presented in Table 3 would be welcome.</w:t>
      </w:r>
    </w:p>
    <w:p w14:paraId="59679EA8" w14:textId="4396AB69" w:rsidR="00997240" w:rsidRPr="001D6BFA" w:rsidRDefault="00997240" w:rsidP="00997240">
      <w:pPr>
        <w:jc w:val="both"/>
        <w:rPr>
          <w:rFonts w:cs="Times New Roman"/>
        </w:rPr>
      </w:pPr>
    </w:p>
    <w:p w14:paraId="2AB39E7E" w14:textId="366843F3" w:rsidR="00736BAA" w:rsidRPr="001D6BFA" w:rsidRDefault="009A5048" w:rsidP="00657DE5">
      <w:pPr>
        <w:tabs>
          <w:tab w:val="left" w:pos="1605"/>
        </w:tabs>
        <w:jc w:val="both"/>
        <w:rPr>
          <w:color w:val="000000" w:themeColor="text1"/>
        </w:rPr>
      </w:pPr>
      <w:r w:rsidRPr="001D6BFA">
        <w:rPr>
          <w:b/>
          <w:color w:val="008000"/>
        </w:rPr>
        <w:t>AR:</w:t>
      </w:r>
      <w:r w:rsidR="00E31CA6" w:rsidRPr="001D6BFA">
        <w:rPr>
          <w:color w:val="000000" w:themeColor="text1"/>
        </w:rPr>
        <w:t xml:space="preserve"> </w:t>
      </w:r>
      <w:r w:rsidR="00C80D72" w:rsidRPr="001D6BFA">
        <w:rPr>
          <w:color w:val="000000" w:themeColor="text1"/>
        </w:rPr>
        <w:t>Unfortunately, we did not</w:t>
      </w:r>
      <w:r w:rsidR="00C65482" w:rsidRPr="001D6BFA">
        <w:rPr>
          <w:color w:val="000000" w:themeColor="text1"/>
        </w:rPr>
        <w:t xml:space="preserve"> have</w:t>
      </w:r>
      <w:r w:rsidR="00C80D72" w:rsidRPr="001D6BFA">
        <w:rPr>
          <w:color w:val="000000" w:themeColor="text1"/>
        </w:rPr>
        <w:t xml:space="preserve"> a more objective and</w:t>
      </w:r>
      <w:r w:rsidR="00DF13C1" w:rsidRPr="001D6BFA">
        <w:rPr>
          <w:color w:val="000000" w:themeColor="text1"/>
        </w:rPr>
        <w:t>/or</w:t>
      </w:r>
      <w:r w:rsidR="00C80D72" w:rsidRPr="001D6BFA">
        <w:rPr>
          <w:color w:val="000000" w:themeColor="text1"/>
        </w:rPr>
        <w:t xml:space="preserve"> automated procedure to calibrate the window size, </w:t>
      </w:r>
      <w:r w:rsidR="00675178" w:rsidRPr="001D6BFA">
        <w:rPr>
          <w:color w:val="000000" w:themeColor="text1"/>
        </w:rPr>
        <w:t xml:space="preserve">and </w:t>
      </w:r>
      <w:r w:rsidR="00C80D72" w:rsidRPr="001D6BFA">
        <w:rPr>
          <w:color w:val="000000" w:themeColor="text1"/>
        </w:rPr>
        <w:t xml:space="preserve">therefore a progressive adjustment was </w:t>
      </w:r>
      <w:r w:rsidR="00B70DA3" w:rsidRPr="001D6BFA">
        <w:rPr>
          <w:color w:val="000000" w:themeColor="text1"/>
        </w:rPr>
        <w:t xml:space="preserve">manually </w:t>
      </w:r>
      <w:r w:rsidR="00C80D72" w:rsidRPr="001D6BFA">
        <w:rPr>
          <w:color w:val="000000" w:themeColor="text1"/>
        </w:rPr>
        <w:t xml:space="preserve">performed </w:t>
      </w:r>
      <w:r w:rsidR="00D7355E" w:rsidRPr="001D6BFA">
        <w:rPr>
          <w:color w:val="000000" w:themeColor="text1"/>
        </w:rPr>
        <w:t>while</w:t>
      </w:r>
      <w:r w:rsidR="00C80D72" w:rsidRPr="001D6BFA">
        <w:rPr>
          <w:color w:val="000000" w:themeColor="text1"/>
        </w:rPr>
        <w:t xml:space="preserve"> inspecting the distribution (spatial and temporal) of the </w:t>
      </w:r>
      <w:r w:rsidR="007F6338" w:rsidRPr="001D6BFA">
        <w:rPr>
          <w:color w:val="000000" w:themeColor="text1"/>
        </w:rPr>
        <w:t xml:space="preserve">identified </w:t>
      </w:r>
      <w:r w:rsidR="00C80D72" w:rsidRPr="001D6BFA">
        <w:rPr>
          <w:color w:val="000000" w:themeColor="text1"/>
        </w:rPr>
        <w:t>duplicated and the removed events.</w:t>
      </w:r>
      <w:r w:rsidR="005654C2" w:rsidRPr="001D6BFA">
        <w:rPr>
          <w:color w:val="000000" w:themeColor="text1"/>
        </w:rPr>
        <w:t xml:space="preserve"> Certainly, as suggested by the reviewer, a more robust approach based on the analysis of previous well-known aftershock sequences would be advisable. This is, however, more a topic of a separate and </w:t>
      </w:r>
      <w:r w:rsidR="00124146" w:rsidRPr="001D6BFA">
        <w:rPr>
          <w:color w:val="000000" w:themeColor="text1"/>
        </w:rPr>
        <w:t>focused</w:t>
      </w:r>
      <w:r w:rsidR="005654C2" w:rsidRPr="001D6BFA">
        <w:rPr>
          <w:color w:val="000000" w:themeColor="text1"/>
        </w:rPr>
        <w:t xml:space="preserve"> study</w:t>
      </w:r>
      <w:r w:rsidR="00E95028" w:rsidRPr="001D6BFA">
        <w:rPr>
          <w:color w:val="000000" w:themeColor="text1"/>
        </w:rPr>
        <w:t>.</w:t>
      </w:r>
      <w:r w:rsidR="00DC5F2F" w:rsidRPr="001D6BFA">
        <w:rPr>
          <w:color w:val="000000" w:themeColor="text1"/>
        </w:rPr>
        <w:t xml:space="preserve"> For the purpose of </w:t>
      </w:r>
      <w:r w:rsidR="001F78F6" w:rsidRPr="001D6BFA">
        <w:rPr>
          <w:color w:val="000000" w:themeColor="text1"/>
        </w:rPr>
        <w:t>our analysis</w:t>
      </w:r>
      <w:r w:rsidR="00DC5F2F" w:rsidRPr="001D6BFA">
        <w:rPr>
          <w:color w:val="000000" w:themeColor="text1"/>
        </w:rPr>
        <w:t xml:space="preserve">, we believe that </w:t>
      </w:r>
      <w:r w:rsidR="00F245AA" w:rsidRPr="001D6BFA">
        <w:rPr>
          <w:color w:val="000000" w:themeColor="text1"/>
        </w:rPr>
        <w:t xml:space="preserve">rather </w:t>
      </w:r>
      <w:r w:rsidR="00DC5F2F" w:rsidRPr="001D6BFA">
        <w:rPr>
          <w:color w:val="000000" w:themeColor="text1"/>
        </w:rPr>
        <w:t>satisfactory result</w:t>
      </w:r>
      <w:r w:rsidR="00BF21C5" w:rsidRPr="001D6BFA">
        <w:rPr>
          <w:color w:val="000000" w:themeColor="text1"/>
        </w:rPr>
        <w:t>s</w:t>
      </w:r>
      <w:r w:rsidR="00DC5F2F" w:rsidRPr="001D6BFA">
        <w:rPr>
          <w:color w:val="000000" w:themeColor="text1"/>
        </w:rPr>
        <w:t xml:space="preserve"> </w:t>
      </w:r>
      <w:r w:rsidR="00995619" w:rsidRPr="001D6BFA">
        <w:rPr>
          <w:color w:val="000000" w:themeColor="text1"/>
        </w:rPr>
        <w:t>were</w:t>
      </w:r>
      <w:r w:rsidR="00DC5F2F" w:rsidRPr="001D6BFA">
        <w:rPr>
          <w:color w:val="000000" w:themeColor="text1"/>
        </w:rPr>
        <w:t xml:space="preserve"> obtaine</w:t>
      </w:r>
      <w:r w:rsidR="00B56783" w:rsidRPr="001D6BFA">
        <w:rPr>
          <w:color w:val="000000" w:themeColor="text1"/>
        </w:rPr>
        <w:t>d</w:t>
      </w:r>
      <w:r w:rsidR="00DC5F2F" w:rsidRPr="001D6BFA">
        <w:rPr>
          <w:color w:val="000000" w:themeColor="text1"/>
        </w:rPr>
        <w:t>.</w:t>
      </w:r>
    </w:p>
    <w:p w14:paraId="4B4EC06D" w14:textId="295FE70D" w:rsidR="00657DE5" w:rsidRPr="001D6BFA" w:rsidRDefault="00736BAA" w:rsidP="00657DE5">
      <w:pPr>
        <w:tabs>
          <w:tab w:val="left" w:pos="1605"/>
        </w:tabs>
        <w:jc w:val="both"/>
        <w:rPr>
          <w:color w:val="000000" w:themeColor="text1"/>
        </w:rPr>
      </w:pPr>
      <w:r w:rsidRPr="001D6BFA">
        <w:rPr>
          <w:color w:val="000000" w:themeColor="text1"/>
        </w:rPr>
        <w:t xml:space="preserve">Regarding the matching of the historical events, month and day </w:t>
      </w:r>
      <w:r w:rsidR="00DF4710" w:rsidRPr="001D6BFA">
        <w:rPr>
          <w:color w:val="000000" w:themeColor="text1"/>
        </w:rPr>
        <w:t>information is available</w:t>
      </w:r>
      <w:r w:rsidRPr="001D6BFA">
        <w:rPr>
          <w:color w:val="000000" w:themeColor="text1"/>
        </w:rPr>
        <w:t xml:space="preserve"> for </w:t>
      </w:r>
      <w:r w:rsidR="00333F39" w:rsidRPr="001D6BFA">
        <w:rPr>
          <w:color w:val="000000" w:themeColor="text1"/>
        </w:rPr>
        <w:t>the large majority</w:t>
      </w:r>
      <w:r w:rsidRPr="001D6BFA">
        <w:rPr>
          <w:color w:val="000000" w:themeColor="text1"/>
        </w:rPr>
        <w:t xml:space="preserve"> of the events.</w:t>
      </w:r>
      <w:r w:rsidR="00333F39" w:rsidRPr="001D6BFA">
        <w:rPr>
          <w:color w:val="000000" w:themeColor="text1"/>
        </w:rPr>
        <w:t xml:space="preserve"> </w:t>
      </w:r>
      <w:r w:rsidR="00717208" w:rsidRPr="001D6BFA">
        <w:rPr>
          <w:color w:val="000000" w:themeColor="text1"/>
        </w:rPr>
        <w:t>Nonetheless, f</w:t>
      </w:r>
      <w:r w:rsidR="00E95028" w:rsidRPr="001D6BFA">
        <w:rPr>
          <w:color w:val="000000" w:themeColor="text1"/>
        </w:rPr>
        <w:t xml:space="preserve">or </w:t>
      </w:r>
      <w:r w:rsidR="00DF4710" w:rsidRPr="001D6BFA">
        <w:rPr>
          <w:color w:val="000000" w:themeColor="text1"/>
        </w:rPr>
        <w:t>th</w:t>
      </w:r>
      <w:r w:rsidR="00797D97" w:rsidRPr="001D6BFA">
        <w:rPr>
          <w:color w:val="000000" w:themeColor="text1"/>
        </w:rPr>
        <w:t>e</w:t>
      </w:r>
      <w:r w:rsidR="00333F39" w:rsidRPr="001D6BFA">
        <w:rPr>
          <w:color w:val="000000" w:themeColor="text1"/>
        </w:rPr>
        <w:t xml:space="preserve"> </w:t>
      </w:r>
      <w:r w:rsidR="00DF4710" w:rsidRPr="001D6BFA">
        <w:rPr>
          <w:color w:val="000000" w:themeColor="text1"/>
        </w:rPr>
        <w:t xml:space="preserve">remaining </w:t>
      </w:r>
      <w:r w:rsidR="00333F39" w:rsidRPr="001D6BFA">
        <w:rPr>
          <w:color w:val="000000" w:themeColor="text1"/>
        </w:rPr>
        <w:t>uncertain events</w:t>
      </w:r>
      <w:r w:rsidR="00797D97" w:rsidRPr="001D6BFA">
        <w:rPr>
          <w:color w:val="000000" w:themeColor="text1"/>
        </w:rPr>
        <w:t xml:space="preserve"> </w:t>
      </w:r>
      <w:r w:rsidR="00E95028" w:rsidRPr="001D6BFA">
        <w:rPr>
          <w:color w:val="000000" w:themeColor="text1"/>
        </w:rPr>
        <w:t xml:space="preserve">we performed </w:t>
      </w:r>
      <w:r w:rsidR="00797D97" w:rsidRPr="001D6BFA">
        <w:rPr>
          <w:color w:val="000000" w:themeColor="text1"/>
        </w:rPr>
        <w:t>a</w:t>
      </w:r>
      <w:r w:rsidR="00333F39" w:rsidRPr="001D6BFA">
        <w:rPr>
          <w:color w:val="000000" w:themeColor="text1"/>
        </w:rPr>
        <w:t xml:space="preserve"> manual</w:t>
      </w:r>
      <w:r w:rsidR="00E95028" w:rsidRPr="001D6BFA">
        <w:rPr>
          <w:color w:val="000000" w:themeColor="text1"/>
        </w:rPr>
        <w:t xml:space="preserve"> review</w:t>
      </w:r>
      <w:r w:rsidR="00C97992" w:rsidRPr="001D6BFA">
        <w:rPr>
          <w:color w:val="000000" w:themeColor="text1"/>
        </w:rPr>
        <w:t>,</w:t>
      </w:r>
      <w:r w:rsidR="00D71D59" w:rsidRPr="001D6BFA">
        <w:rPr>
          <w:color w:val="000000" w:themeColor="text1"/>
        </w:rPr>
        <w:t xml:space="preserve"> </w:t>
      </w:r>
      <w:r w:rsidR="00C97992" w:rsidRPr="001D6BFA">
        <w:rPr>
          <w:color w:val="000000" w:themeColor="text1"/>
        </w:rPr>
        <w:t>artific</w:t>
      </w:r>
      <w:r w:rsidR="009F6A93" w:rsidRPr="001D6BFA">
        <w:rPr>
          <w:color w:val="000000" w:themeColor="text1"/>
        </w:rPr>
        <w:t>ially</w:t>
      </w:r>
      <w:r w:rsidR="00C97992" w:rsidRPr="001D6BFA">
        <w:rPr>
          <w:color w:val="000000" w:themeColor="text1"/>
        </w:rPr>
        <w:t xml:space="preserve"> assigning the </w:t>
      </w:r>
      <w:r w:rsidR="00797D97" w:rsidRPr="001D6BFA">
        <w:rPr>
          <w:color w:val="000000" w:themeColor="text1"/>
        </w:rPr>
        <w:t xml:space="preserve">arbitrary </w:t>
      </w:r>
      <w:r w:rsidR="00C97992" w:rsidRPr="001D6BFA">
        <w:rPr>
          <w:color w:val="000000" w:themeColor="text1"/>
        </w:rPr>
        <w:t>date of the 1</w:t>
      </w:r>
      <w:r w:rsidR="00C97992" w:rsidRPr="001D6BFA">
        <w:rPr>
          <w:color w:val="000000" w:themeColor="text1"/>
          <w:vertAlign w:val="superscript"/>
        </w:rPr>
        <w:t>st</w:t>
      </w:r>
      <w:r w:rsidR="00C97992" w:rsidRPr="001D6BFA">
        <w:rPr>
          <w:color w:val="000000" w:themeColor="text1"/>
        </w:rPr>
        <w:t xml:space="preserve"> of January</w:t>
      </w:r>
      <w:r w:rsidR="004036E2" w:rsidRPr="001D6BFA">
        <w:rPr>
          <w:color w:val="000000" w:themeColor="text1"/>
        </w:rPr>
        <w:t xml:space="preserve"> </w:t>
      </w:r>
      <w:r w:rsidR="00352E2C" w:rsidRPr="001D6BFA">
        <w:rPr>
          <w:color w:val="000000" w:themeColor="text1"/>
        </w:rPr>
        <w:t>(</w:t>
      </w:r>
      <w:r w:rsidR="004036E2" w:rsidRPr="001D6BFA">
        <w:rPr>
          <w:color w:val="000000" w:themeColor="text1"/>
        </w:rPr>
        <w:t xml:space="preserve">only for </w:t>
      </w:r>
      <w:r w:rsidR="008B2665">
        <w:rPr>
          <w:color w:val="000000" w:themeColor="text1"/>
        </w:rPr>
        <w:t xml:space="preserve">event </w:t>
      </w:r>
      <w:r w:rsidR="004036E2" w:rsidRPr="001D6BFA">
        <w:rPr>
          <w:color w:val="000000" w:themeColor="text1"/>
        </w:rPr>
        <w:t>matching purposes</w:t>
      </w:r>
      <w:r w:rsidR="00352E2C" w:rsidRPr="001D6BFA">
        <w:rPr>
          <w:color w:val="000000" w:themeColor="text1"/>
        </w:rPr>
        <w:t>)</w:t>
      </w:r>
      <w:r w:rsidR="00C97992" w:rsidRPr="001D6BFA">
        <w:rPr>
          <w:color w:val="000000" w:themeColor="text1"/>
        </w:rPr>
        <w:t>.</w:t>
      </w:r>
      <w:r w:rsidR="00333F39" w:rsidRPr="001D6BFA">
        <w:rPr>
          <w:color w:val="000000" w:themeColor="text1"/>
        </w:rPr>
        <w:t xml:space="preserve"> This is now </w:t>
      </w:r>
      <w:r w:rsidR="007D7859" w:rsidRPr="001D6BFA">
        <w:rPr>
          <w:color w:val="000000" w:themeColor="text1"/>
        </w:rPr>
        <w:t>clarified</w:t>
      </w:r>
      <w:r w:rsidR="00333F39" w:rsidRPr="001D6BFA">
        <w:rPr>
          <w:color w:val="000000" w:themeColor="text1"/>
        </w:rPr>
        <w:t xml:space="preserve"> in the manuscript.</w:t>
      </w:r>
    </w:p>
    <w:p w14:paraId="60D7C170" w14:textId="77777777" w:rsidR="009A5048" w:rsidRPr="001D6BFA" w:rsidRDefault="009A5048" w:rsidP="00997240">
      <w:pPr>
        <w:jc w:val="both"/>
        <w:rPr>
          <w:rFonts w:cs="Times New Roman"/>
        </w:rPr>
      </w:pPr>
    </w:p>
    <w:p w14:paraId="746B4DD7" w14:textId="098BF5F6" w:rsidR="00997240" w:rsidRPr="001D6BFA" w:rsidRDefault="00997240" w:rsidP="00997240">
      <w:pPr>
        <w:jc w:val="both"/>
        <w:rPr>
          <w:rFonts w:cs="Times New Roman"/>
          <w:b/>
        </w:rPr>
      </w:pPr>
      <w:r w:rsidRPr="001D6BFA">
        <w:rPr>
          <w:rFonts w:cs="Times New Roman"/>
          <w:b/>
        </w:rPr>
        <w:t xml:space="preserve">Section 5.1 </w:t>
      </w:r>
      <w:proofErr w:type="spellStart"/>
      <w:r w:rsidRPr="001D6BFA">
        <w:rPr>
          <w:rFonts w:cs="Times New Roman"/>
          <w:b/>
        </w:rPr>
        <w:t>Hig</w:t>
      </w:r>
      <w:proofErr w:type="spellEnd"/>
      <w:r w:rsidRPr="001D6BFA">
        <w:rPr>
          <w:rFonts w:cs="Times New Roman"/>
          <w:b/>
        </w:rPr>
        <w:t xml:space="preserve"> and Middle Atlas</w:t>
      </w:r>
    </w:p>
    <w:p w14:paraId="53962877" w14:textId="4349C96B"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End of second paragraph: “</w:t>
      </w:r>
      <w:proofErr w:type="spellStart"/>
      <w:r w:rsidR="00997240" w:rsidRPr="001D6BFA">
        <w:rPr>
          <w:rFonts w:cs="Times New Roman"/>
        </w:rPr>
        <w:t>Meghrauoi</w:t>
      </w:r>
      <w:proofErr w:type="spellEnd"/>
      <w:r w:rsidR="00997240" w:rsidRPr="001D6BFA">
        <w:rPr>
          <w:rFonts w:cs="Times New Roman"/>
        </w:rPr>
        <w:t xml:space="preserve"> et al. 1999” should read “</w:t>
      </w:r>
      <w:proofErr w:type="spellStart"/>
      <w:r w:rsidR="00997240" w:rsidRPr="001D6BFA">
        <w:rPr>
          <w:rFonts w:cs="Times New Roman"/>
        </w:rPr>
        <w:t>Meghraoui</w:t>
      </w:r>
      <w:proofErr w:type="spellEnd"/>
      <w:r w:rsidR="00997240" w:rsidRPr="001D6BFA">
        <w:rPr>
          <w:rFonts w:cs="Times New Roman"/>
        </w:rPr>
        <w:t xml:space="preserve"> et al. 1999”</w:t>
      </w:r>
    </w:p>
    <w:p w14:paraId="300342C6" w14:textId="03076EDD" w:rsidR="00997240" w:rsidRPr="001D6BFA" w:rsidRDefault="00997240" w:rsidP="00997240">
      <w:pPr>
        <w:jc w:val="both"/>
        <w:rPr>
          <w:rFonts w:cs="Times New Roman"/>
        </w:rPr>
      </w:pPr>
    </w:p>
    <w:p w14:paraId="4F34B660" w14:textId="232E539A" w:rsidR="007A5A3D" w:rsidRPr="001D6BFA" w:rsidRDefault="009A5048" w:rsidP="00997240">
      <w:pPr>
        <w:jc w:val="both"/>
        <w:rPr>
          <w:b/>
          <w:color w:val="008000"/>
        </w:rPr>
      </w:pPr>
      <w:r w:rsidRPr="001D6BFA">
        <w:rPr>
          <w:b/>
          <w:color w:val="008000"/>
        </w:rPr>
        <w:t>AR:</w:t>
      </w:r>
      <w:r w:rsidR="00E31CA6" w:rsidRPr="001D6BFA">
        <w:rPr>
          <w:color w:val="000000" w:themeColor="text1"/>
        </w:rPr>
        <w:t xml:space="preserve"> Corrected</w:t>
      </w:r>
      <w:r w:rsidR="00BE3778">
        <w:rPr>
          <w:color w:val="000000" w:themeColor="text1"/>
        </w:rPr>
        <w:t>.</w:t>
      </w:r>
    </w:p>
    <w:p w14:paraId="254CAEE6" w14:textId="77777777" w:rsidR="009A5048" w:rsidRPr="001D6BFA" w:rsidRDefault="009A5048" w:rsidP="00997240">
      <w:pPr>
        <w:jc w:val="both"/>
        <w:rPr>
          <w:rFonts w:cs="Times New Roman"/>
        </w:rPr>
      </w:pPr>
    </w:p>
    <w:p w14:paraId="429B44B5" w14:textId="773E6706" w:rsidR="00997240" w:rsidRPr="001D6BFA" w:rsidRDefault="00997240" w:rsidP="00997240">
      <w:pPr>
        <w:jc w:val="both"/>
        <w:rPr>
          <w:rFonts w:cs="Times New Roman"/>
          <w:b/>
        </w:rPr>
      </w:pPr>
      <w:r w:rsidRPr="001D6BFA">
        <w:rPr>
          <w:rFonts w:cs="Times New Roman"/>
          <w:b/>
        </w:rPr>
        <w:t>Section 5.5 North Eastern-Africa</w:t>
      </w:r>
    </w:p>
    <w:p w14:paraId="59A7A7AC" w14:textId="032D2701"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 xml:space="preserve">Figure 2 does not cover this region. The discussed structures and regions might be identified in a regional </w:t>
      </w:r>
      <w:proofErr w:type="spellStart"/>
      <w:r w:rsidR="00997240" w:rsidRPr="001D6BFA">
        <w:rPr>
          <w:rFonts w:cs="Times New Roman"/>
        </w:rPr>
        <w:t>seismotectonic</w:t>
      </w:r>
      <w:proofErr w:type="spellEnd"/>
      <w:r w:rsidR="00997240" w:rsidRPr="001D6BFA">
        <w:rPr>
          <w:rFonts w:cs="Times New Roman"/>
        </w:rPr>
        <w:t xml:space="preserve"> map for the whole region as suggested above.</w:t>
      </w:r>
    </w:p>
    <w:p w14:paraId="1E002424" w14:textId="676D7C59" w:rsidR="00997240" w:rsidRPr="001D6BFA" w:rsidRDefault="00997240" w:rsidP="00997240">
      <w:pPr>
        <w:jc w:val="both"/>
        <w:rPr>
          <w:rFonts w:cs="Times New Roman"/>
        </w:rPr>
      </w:pPr>
    </w:p>
    <w:p w14:paraId="6E4843A9" w14:textId="37AAAA0B" w:rsidR="007A5A3D" w:rsidRPr="001D6BFA" w:rsidRDefault="009A5048" w:rsidP="00997240">
      <w:pPr>
        <w:jc w:val="both"/>
        <w:rPr>
          <w:b/>
          <w:color w:val="008000"/>
        </w:rPr>
      </w:pPr>
      <w:r w:rsidRPr="001D6BFA">
        <w:rPr>
          <w:b/>
          <w:color w:val="008000"/>
        </w:rPr>
        <w:t>AR:</w:t>
      </w:r>
      <w:r w:rsidR="006534B1" w:rsidRPr="000B240A">
        <w:rPr>
          <w:color w:val="000000" w:themeColor="text1"/>
        </w:rPr>
        <w:t xml:space="preserve"> We added a second panel </w:t>
      </w:r>
      <w:r w:rsidR="00213BD4">
        <w:rPr>
          <w:color w:val="000000" w:themeColor="text1"/>
        </w:rPr>
        <w:t>including</w:t>
      </w:r>
      <w:r w:rsidR="000B240A" w:rsidRPr="000B240A">
        <w:rPr>
          <w:color w:val="000000" w:themeColor="text1"/>
        </w:rPr>
        <w:t xml:space="preserve"> the </w:t>
      </w:r>
      <w:r w:rsidR="00213BD4">
        <w:rPr>
          <w:color w:val="000000" w:themeColor="text1"/>
        </w:rPr>
        <w:t xml:space="preserve">active </w:t>
      </w:r>
      <w:r w:rsidR="000B240A" w:rsidRPr="000B240A">
        <w:rPr>
          <w:color w:val="000000" w:themeColor="text1"/>
        </w:rPr>
        <w:t>faults for the N</w:t>
      </w:r>
      <w:r w:rsidR="00213BD4">
        <w:rPr>
          <w:color w:val="000000" w:themeColor="text1"/>
        </w:rPr>
        <w:t>o</w:t>
      </w:r>
      <w:r w:rsidR="000B240A" w:rsidRPr="000B240A">
        <w:rPr>
          <w:color w:val="000000" w:themeColor="text1"/>
        </w:rPr>
        <w:t>rth-Eastern Africa region.</w:t>
      </w:r>
    </w:p>
    <w:p w14:paraId="0C366535" w14:textId="77777777" w:rsidR="009A5048" w:rsidRPr="001D6BFA" w:rsidRDefault="009A5048" w:rsidP="00997240">
      <w:pPr>
        <w:jc w:val="both"/>
        <w:rPr>
          <w:rFonts w:cs="Times New Roman"/>
        </w:rPr>
      </w:pPr>
    </w:p>
    <w:p w14:paraId="0FD85C1C" w14:textId="0825677F" w:rsidR="00997240" w:rsidRPr="001D6BFA" w:rsidRDefault="00997240" w:rsidP="00997240">
      <w:pPr>
        <w:jc w:val="both"/>
        <w:rPr>
          <w:rFonts w:cs="Times New Roman"/>
          <w:b/>
        </w:rPr>
      </w:pPr>
      <w:r w:rsidRPr="001D6BFA">
        <w:rPr>
          <w:rFonts w:cs="Times New Roman"/>
          <w:b/>
        </w:rPr>
        <w:t>Section 6.1.2 Occurrence Model and Maximum Magnitude</w:t>
      </w:r>
    </w:p>
    <w:p w14:paraId="7A5263DA" w14:textId="557D4425"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First line “double truncated” should read “doubly truncated”?</w:t>
      </w:r>
    </w:p>
    <w:p w14:paraId="298420C1" w14:textId="154DA4A4" w:rsidR="00997240" w:rsidRPr="001D6BFA" w:rsidRDefault="00997240" w:rsidP="00997240">
      <w:pPr>
        <w:jc w:val="both"/>
        <w:rPr>
          <w:rFonts w:cs="Times New Roman"/>
        </w:rPr>
      </w:pPr>
    </w:p>
    <w:p w14:paraId="5EB1DC7A" w14:textId="42FB8AA3" w:rsidR="007A5A3D" w:rsidRPr="001D6BFA" w:rsidRDefault="009A5048" w:rsidP="00997240">
      <w:pPr>
        <w:jc w:val="both"/>
        <w:rPr>
          <w:b/>
          <w:color w:val="008000"/>
        </w:rPr>
      </w:pPr>
      <w:r w:rsidRPr="001D6BFA">
        <w:rPr>
          <w:b/>
          <w:color w:val="008000"/>
        </w:rPr>
        <w:t>AR:</w:t>
      </w:r>
      <w:r w:rsidR="003E6FA6" w:rsidRPr="001D6BFA">
        <w:rPr>
          <w:color w:val="000000" w:themeColor="text1"/>
        </w:rPr>
        <w:t xml:space="preserve"> That is interesting. We found both denomination in literature, as it seems they are equally valid. We have nonetheless modified </w:t>
      </w:r>
      <w:r w:rsidR="003E6FA6" w:rsidRPr="001D6BFA">
        <w:rPr>
          <w:rFonts w:cs="Times New Roman"/>
        </w:rPr>
        <w:t>“double truncated” in “double-truncated”</w:t>
      </w:r>
      <w:r w:rsidR="007F4CDB" w:rsidRPr="001D6BFA">
        <w:rPr>
          <w:rFonts w:cs="Times New Roman"/>
        </w:rPr>
        <w:t>, uniformly</w:t>
      </w:r>
      <w:r w:rsidR="003E6FA6" w:rsidRPr="001D6BFA">
        <w:rPr>
          <w:rFonts w:cs="Times New Roman"/>
        </w:rPr>
        <w:t>.</w:t>
      </w:r>
    </w:p>
    <w:p w14:paraId="1DB3C82F" w14:textId="77777777" w:rsidR="009A5048" w:rsidRPr="001D6BFA" w:rsidRDefault="009A5048" w:rsidP="00997240">
      <w:pPr>
        <w:jc w:val="both"/>
        <w:rPr>
          <w:rFonts w:cs="Times New Roman"/>
        </w:rPr>
      </w:pPr>
    </w:p>
    <w:p w14:paraId="45CD9F8D" w14:textId="092553D8" w:rsidR="00997240" w:rsidRPr="001D6BFA" w:rsidRDefault="00DC2C12" w:rsidP="00997240">
      <w:pPr>
        <w:jc w:val="both"/>
        <w:rPr>
          <w:rFonts w:cs="Times New Roman"/>
        </w:rPr>
      </w:pPr>
      <w:r w:rsidRPr="001D6BFA">
        <w:rPr>
          <w:b/>
          <w:color w:val="FF6600"/>
        </w:rPr>
        <w:lastRenderedPageBreak/>
        <w:t>R2</w:t>
      </w:r>
      <w:r w:rsidRPr="001D6BFA">
        <w:t xml:space="preserve">: </w:t>
      </w:r>
      <w:r w:rsidR="00997240" w:rsidRPr="001D6BFA">
        <w:rPr>
          <w:rFonts w:cs="Times New Roman"/>
        </w:rPr>
        <w:t>“Minimum magnitude has been arbitrary assigned to 4.5 for all zones”. Minimum magnitude has a strong impact usually on the computed activity rates. Also, the catalogue has been developed from M=4.0, instinctively one would compute activity rates with as much data as possible starting from M=4. I suggest explaining a little bit the rational to select M=4.5. Sensitivity tests might also be performed which could be used to justify or discuss the uncertainty on the b-value included in the logic-tree (as explained in section 9).</w:t>
      </w:r>
    </w:p>
    <w:p w14:paraId="2D613CB3" w14:textId="62DEBCC9" w:rsidR="00997240" w:rsidRPr="001D6BFA" w:rsidRDefault="00997240" w:rsidP="00997240">
      <w:pPr>
        <w:jc w:val="both"/>
        <w:rPr>
          <w:rFonts w:cs="Times New Roman"/>
        </w:rPr>
      </w:pPr>
    </w:p>
    <w:p w14:paraId="355AC324" w14:textId="175721F1" w:rsidR="007A5A3D" w:rsidRPr="001D6BFA" w:rsidRDefault="009A5048" w:rsidP="007A5A3D">
      <w:pPr>
        <w:jc w:val="both"/>
        <w:rPr>
          <w:color w:val="000000" w:themeColor="text1"/>
        </w:rPr>
      </w:pPr>
      <w:r w:rsidRPr="001D6BFA">
        <w:rPr>
          <w:b/>
          <w:color w:val="008000"/>
        </w:rPr>
        <w:t>AR:</w:t>
      </w:r>
      <w:r w:rsidRPr="001D6BFA">
        <w:rPr>
          <w:color w:val="000000" w:themeColor="text1"/>
        </w:rPr>
        <w:t xml:space="preserve"> </w:t>
      </w:r>
      <w:r w:rsidR="00ED001D" w:rsidRPr="001D6BFA">
        <w:rPr>
          <w:color w:val="000000" w:themeColor="text1"/>
        </w:rPr>
        <w:t>The decision of using a calculation threshold of 4.5 is a</w:t>
      </w:r>
      <w:r w:rsidR="00D316EB" w:rsidRPr="001D6BFA">
        <w:rPr>
          <w:color w:val="000000" w:themeColor="text1"/>
        </w:rPr>
        <w:t xml:space="preserve"> </w:t>
      </w:r>
      <w:r w:rsidR="002007EA" w:rsidRPr="001D6BFA">
        <w:rPr>
          <w:color w:val="000000" w:themeColor="text1"/>
        </w:rPr>
        <w:t xml:space="preserve">rather </w:t>
      </w:r>
      <w:r w:rsidR="00D316EB" w:rsidRPr="001D6BFA">
        <w:rPr>
          <w:color w:val="000000" w:themeColor="text1"/>
        </w:rPr>
        <w:t>standard</w:t>
      </w:r>
      <w:r w:rsidR="00ED001D" w:rsidRPr="001D6BFA">
        <w:rPr>
          <w:color w:val="000000" w:themeColor="text1"/>
        </w:rPr>
        <w:t xml:space="preserve"> engineering choice, as it is generally accepted that events below such threshold ore not capable to produce a </w:t>
      </w:r>
      <w:r w:rsidR="00A57AFA" w:rsidRPr="001D6BFA">
        <w:rPr>
          <w:color w:val="000000" w:themeColor="text1"/>
        </w:rPr>
        <w:t>“</w:t>
      </w:r>
      <w:r w:rsidR="00ED001D" w:rsidRPr="001D6BFA">
        <w:rPr>
          <w:color w:val="000000" w:themeColor="text1"/>
        </w:rPr>
        <w:t>s</w:t>
      </w:r>
      <w:r w:rsidR="006B540A" w:rsidRPr="001D6BFA">
        <w:rPr>
          <w:color w:val="000000" w:themeColor="text1"/>
        </w:rPr>
        <w:t>i</w:t>
      </w:r>
      <w:r w:rsidR="001E14DA" w:rsidRPr="001D6BFA">
        <w:rPr>
          <w:color w:val="000000" w:themeColor="text1"/>
        </w:rPr>
        <w:t>gnifica</w:t>
      </w:r>
      <w:r w:rsidR="006B540A" w:rsidRPr="001D6BFA">
        <w:rPr>
          <w:color w:val="000000" w:themeColor="text1"/>
        </w:rPr>
        <w:t>nt</w:t>
      </w:r>
      <w:r w:rsidR="00A57AFA" w:rsidRPr="001D6BFA">
        <w:rPr>
          <w:color w:val="000000" w:themeColor="text1"/>
        </w:rPr>
        <w:t>”</w:t>
      </w:r>
      <w:r w:rsidR="00ED001D" w:rsidRPr="001D6BFA">
        <w:rPr>
          <w:color w:val="000000" w:themeColor="text1"/>
        </w:rPr>
        <w:t xml:space="preserve"> level of damage. </w:t>
      </w:r>
      <w:r w:rsidR="006715D3" w:rsidRPr="001D6BFA">
        <w:rPr>
          <w:color w:val="000000" w:themeColor="text1"/>
        </w:rPr>
        <w:t>For the development of a previous model for the East African Rift (Poggi et al. 2017), w</w:t>
      </w:r>
      <w:r w:rsidR="00ED001D" w:rsidRPr="001D6BFA">
        <w:rPr>
          <w:color w:val="000000" w:themeColor="text1"/>
        </w:rPr>
        <w:t>e have</w:t>
      </w:r>
      <w:r w:rsidR="00FE0401" w:rsidRPr="001D6BFA">
        <w:rPr>
          <w:color w:val="000000" w:themeColor="text1"/>
        </w:rPr>
        <w:t xml:space="preserve"> preliminary</w:t>
      </w:r>
      <w:r w:rsidR="00ED001D" w:rsidRPr="001D6BFA">
        <w:rPr>
          <w:color w:val="000000" w:themeColor="text1"/>
        </w:rPr>
        <w:t xml:space="preserve"> tested a lower threshold of 4.0, but the results were not particularly different </w:t>
      </w:r>
      <w:r w:rsidR="007D7F63" w:rsidRPr="001D6BFA">
        <w:rPr>
          <w:color w:val="000000" w:themeColor="text1"/>
        </w:rPr>
        <w:t>for</w:t>
      </w:r>
      <w:r w:rsidR="00ED001D" w:rsidRPr="001D6BFA">
        <w:rPr>
          <w:color w:val="000000" w:themeColor="text1"/>
        </w:rPr>
        <w:t xml:space="preserve"> the considered return periods</w:t>
      </w:r>
      <w:r w:rsidR="00230C28" w:rsidRPr="001D6BFA">
        <w:rPr>
          <w:color w:val="000000" w:themeColor="text1"/>
        </w:rPr>
        <w:t xml:space="preserve"> (</w:t>
      </w:r>
      <w:r w:rsidR="007D7F63" w:rsidRPr="001D6BFA">
        <w:rPr>
          <w:color w:val="000000" w:themeColor="text1"/>
        </w:rPr>
        <w:t xml:space="preserve">although </w:t>
      </w:r>
      <w:r w:rsidR="00644A16" w:rsidRPr="001D6BFA">
        <w:rPr>
          <w:color w:val="000000" w:themeColor="text1"/>
        </w:rPr>
        <w:t xml:space="preserve">we </w:t>
      </w:r>
      <w:r w:rsidR="00230C28" w:rsidRPr="001D6BFA">
        <w:rPr>
          <w:color w:val="000000" w:themeColor="text1"/>
        </w:rPr>
        <w:t xml:space="preserve">expect </w:t>
      </w:r>
      <w:r w:rsidR="007D7F63" w:rsidRPr="001D6BFA">
        <w:rPr>
          <w:color w:val="000000" w:themeColor="text1"/>
        </w:rPr>
        <w:t>some</w:t>
      </w:r>
      <w:r w:rsidR="00230C28" w:rsidRPr="001D6BFA">
        <w:rPr>
          <w:color w:val="000000" w:themeColor="text1"/>
        </w:rPr>
        <w:t xml:space="preserve"> impact on shorter return periods</w:t>
      </w:r>
      <w:r w:rsidR="005B674C" w:rsidRPr="001D6BFA">
        <w:rPr>
          <w:color w:val="000000" w:themeColor="text1"/>
        </w:rPr>
        <w:t xml:space="preserve">, which are </w:t>
      </w:r>
      <w:r w:rsidR="007D7F63" w:rsidRPr="001D6BFA">
        <w:rPr>
          <w:color w:val="000000" w:themeColor="text1"/>
        </w:rPr>
        <w:t xml:space="preserve">nonetheless </w:t>
      </w:r>
      <w:r w:rsidR="005B674C" w:rsidRPr="001D6BFA">
        <w:rPr>
          <w:color w:val="000000" w:themeColor="text1"/>
        </w:rPr>
        <w:t>not considered</w:t>
      </w:r>
      <w:r w:rsidR="00230C28" w:rsidRPr="001D6BFA">
        <w:rPr>
          <w:color w:val="000000" w:themeColor="text1"/>
        </w:rPr>
        <w:t>)</w:t>
      </w:r>
      <w:r w:rsidR="00FF1312" w:rsidRPr="001D6BFA">
        <w:rPr>
          <w:color w:val="000000" w:themeColor="text1"/>
        </w:rPr>
        <w:t>.</w:t>
      </w:r>
    </w:p>
    <w:p w14:paraId="39089340" w14:textId="20287AA3" w:rsidR="00514E7E" w:rsidRPr="001D6BFA" w:rsidRDefault="008C14A3" w:rsidP="007A5A3D">
      <w:pPr>
        <w:jc w:val="both"/>
        <w:rPr>
          <w:rFonts w:cs="Times New Roman"/>
        </w:rPr>
      </w:pPr>
      <w:r w:rsidRPr="001D6BFA">
        <w:rPr>
          <w:rFonts w:cs="Times New Roman"/>
        </w:rPr>
        <w:t>It must be noted that</w:t>
      </w:r>
      <w:r w:rsidR="00514E7E" w:rsidRPr="001D6BFA">
        <w:rPr>
          <w:rFonts w:cs="Times New Roman"/>
        </w:rPr>
        <w:t xml:space="preserve"> catalogue is compiled from a magnitude lower than the minimum magnitude used for the calculation in order to:</w:t>
      </w:r>
    </w:p>
    <w:p w14:paraId="5E40E3F3" w14:textId="4F49E9D6" w:rsidR="00514E7E" w:rsidRPr="001D6BFA" w:rsidRDefault="00514E7E" w:rsidP="00514E7E">
      <w:pPr>
        <w:pStyle w:val="ListParagraph"/>
        <w:numPr>
          <w:ilvl w:val="0"/>
          <w:numId w:val="2"/>
        </w:numPr>
        <w:jc w:val="both"/>
        <w:rPr>
          <w:rFonts w:cs="Times New Roman"/>
        </w:rPr>
      </w:pPr>
      <w:r w:rsidRPr="001D6BFA">
        <w:rPr>
          <w:rFonts w:cs="Times New Roman"/>
        </w:rPr>
        <w:t xml:space="preserve">Better </w:t>
      </w:r>
      <w:r w:rsidR="00E91D5A" w:rsidRPr="001D6BFA">
        <w:rPr>
          <w:rFonts w:cs="Times New Roman"/>
        </w:rPr>
        <w:t>constrain</w:t>
      </w:r>
      <w:r w:rsidRPr="001D6BFA">
        <w:rPr>
          <w:rFonts w:cs="Times New Roman"/>
        </w:rPr>
        <w:t xml:space="preserve"> the GR relation</w:t>
      </w:r>
      <w:r w:rsidR="00F1075D" w:rsidRPr="001D6BFA">
        <w:rPr>
          <w:rFonts w:cs="Times New Roman"/>
        </w:rPr>
        <w:t xml:space="preserve"> (</w:t>
      </w:r>
      <w:r w:rsidRPr="001D6BFA">
        <w:rPr>
          <w:rFonts w:cs="Times New Roman"/>
        </w:rPr>
        <w:t>if local completeness allows to</w:t>
      </w:r>
      <w:r w:rsidR="00F1075D" w:rsidRPr="001D6BFA">
        <w:rPr>
          <w:rFonts w:cs="Times New Roman"/>
        </w:rPr>
        <w:t>)</w:t>
      </w:r>
    </w:p>
    <w:p w14:paraId="0E4AC655" w14:textId="62C4E8F2" w:rsidR="00514E7E" w:rsidRPr="001D6BFA" w:rsidRDefault="00514E7E" w:rsidP="00514E7E">
      <w:pPr>
        <w:pStyle w:val="ListParagraph"/>
        <w:numPr>
          <w:ilvl w:val="0"/>
          <w:numId w:val="2"/>
        </w:numPr>
        <w:jc w:val="both"/>
        <w:rPr>
          <w:rFonts w:cs="Times New Roman"/>
        </w:rPr>
      </w:pPr>
      <w:r w:rsidRPr="001D6BFA">
        <w:rPr>
          <w:rFonts w:cs="Times New Roman"/>
        </w:rPr>
        <w:t xml:space="preserve">Account for </w:t>
      </w:r>
      <w:r w:rsidR="008D1208" w:rsidRPr="001D6BFA">
        <w:rPr>
          <w:rFonts w:cs="Times New Roman"/>
        </w:rPr>
        <w:t xml:space="preserve">the </w:t>
      </w:r>
      <w:r w:rsidRPr="001D6BFA">
        <w:rPr>
          <w:rFonts w:cs="Times New Roman"/>
        </w:rPr>
        <w:t xml:space="preserve">uncertainty when selecting and converting </w:t>
      </w:r>
      <w:r w:rsidR="00B047B2" w:rsidRPr="001D6BFA">
        <w:rPr>
          <w:rFonts w:cs="Times New Roman"/>
        </w:rPr>
        <w:t xml:space="preserve">between </w:t>
      </w:r>
      <w:r w:rsidRPr="001D6BFA">
        <w:rPr>
          <w:rFonts w:cs="Times New Roman"/>
        </w:rPr>
        <w:t>magnitude</w:t>
      </w:r>
      <w:r w:rsidR="00EB1CDD" w:rsidRPr="001D6BFA">
        <w:rPr>
          <w:rFonts w:cs="Times New Roman"/>
        </w:rPr>
        <w:t xml:space="preserve"> pairs during homogenisation</w:t>
      </w:r>
    </w:p>
    <w:p w14:paraId="15FD66BB" w14:textId="77777777" w:rsidR="007A5A3D" w:rsidRPr="001D6BFA" w:rsidRDefault="007A5A3D" w:rsidP="00997240">
      <w:pPr>
        <w:jc w:val="both"/>
        <w:rPr>
          <w:rFonts w:cs="Times New Roman"/>
        </w:rPr>
      </w:pPr>
    </w:p>
    <w:p w14:paraId="7C6EB9B6" w14:textId="38900BE6"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Second paragraph: The authors mention the completeness analysis. Please provide details on the analysis: method used, unique completeness for the whole region or local specificities (based on the discussion on the catalogue, it seems that completeness may vary across the region under study).</w:t>
      </w:r>
    </w:p>
    <w:p w14:paraId="071A987C" w14:textId="0070C78C" w:rsidR="00997240" w:rsidRPr="001D6BFA" w:rsidRDefault="00997240" w:rsidP="00997240">
      <w:pPr>
        <w:jc w:val="both"/>
        <w:rPr>
          <w:rFonts w:cs="Times New Roman"/>
        </w:rPr>
      </w:pPr>
    </w:p>
    <w:p w14:paraId="78366321" w14:textId="6EEF01F8" w:rsidR="00574A4C" w:rsidRPr="001D6BFA" w:rsidRDefault="009A5048" w:rsidP="0049357B">
      <w:pPr>
        <w:jc w:val="both"/>
      </w:pPr>
      <w:r w:rsidRPr="001D6BFA">
        <w:rPr>
          <w:b/>
          <w:color w:val="008000"/>
        </w:rPr>
        <w:t>AR:</w:t>
      </w:r>
      <w:r w:rsidRPr="001D6BFA">
        <w:t xml:space="preserve"> </w:t>
      </w:r>
      <w:r w:rsidR="0049357B" w:rsidRPr="001D6BFA">
        <w:t xml:space="preserve"> </w:t>
      </w:r>
      <w:r w:rsidR="00243119" w:rsidRPr="001D6BFA">
        <w:t xml:space="preserve">The variability of the completeness between zones is now </w:t>
      </w:r>
      <w:r w:rsidR="009D3876" w:rsidRPr="001D6BFA">
        <w:t xml:space="preserve">better </w:t>
      </w:r>
      <w:r w:rsidR="00243119" w:rsidRPr="001D6BFA">
        <w:t xml:space="preserve">indicated at the beginning of section 6.1.2, </w:t>
      </w:r>
      <w:r w:rsidR="00A9106B" w:rsidRPr="001D6BFA">
        <w:t>also</w:t>
      </w:r>
      <w:r w:rsidR="00243119" w:rsidRPr="001D6BFA">
        <w:t xml:space="preserve"> stressing the relation with minimum </w:t>
      </w:r>
      <w:r w:rsidR="008967F4" w:rsidRPr="001D6BFA">
        <w:t xml:space="preserve">threshold </w:t>
      </w:r>
      <w:r w:rsidR="00243119" w:rsidRPr="001D6BFA">
        <w:t>magnitude</w:t>
      </w:r>
      <w:r w:rsidR="009E1CC5" w:rsidRPr="001D6BFA">
        <w:t xml:space="preserve"> (</w:t>
      </w:r>
      <w:r w:rsidR="00243119" w:rsidRPr="001D6BFA">
        <w:t xml:space="preserve">as </w:t>
      </w:r>
      <w:r w:rsidR="005B485D" w:rsidRPr="001D6BFA">
        <w:t xml:space="preserve">also </w:t>
      </w:r>
      <w:r w:rsidR="00243119" w:rsidRPr="001D6BFA">
        <w:t>requested by the first reviewer</w:t>
      </w:r>
      <w:r w:rsidR="009E1CC5" w:rsidRPr="001D6BFA">
        <w:t>)</w:t>
      </w:r>
      <w:r w:rsidR="00243119" w:rsidRPr="001D6BFA">
        <w:t xml:space="preserve">. For </w:t>
      </w:r>
      <w:r w:rsidR="00547327" w:rsidRPr="001D6BFA">
        <w:t>details about</w:t>
      </w:r>
      <w:r w:rsidR="00243119" w:rsidRPr="001D6BFA">
        <w:t xml:space="preserve"> completeness analysis we now refer </w:t>
      </w:r>
      <w:r w:rsidR="00CF2B35" w:rsidRPr="001D6BFA">
        <w:t xml:space="preserve">in the same paragraph </w:t>
      </w:r>
      <w:r w:rsidR="00243119" w:rsidRPr="001D6BFA">
        <w:t xml:space="preserve">to Poggi et al. 2017, where the procedure is more </w:t>
      </w:r>
      <w:r w:rsidR="00383635" w:rsidRPr="001D6BFA">
        <w:t>exhaustively</w:t>
      </w:r>
      <w:r w:rsidR="00243119" w:rsidRPr="001D6BFA">
        <w:t xml:space="preserve"> presented. </w:t>
      </w:r>
      <w:r w:rsidR="00574A4C" w:rsidRPr="001D6BFA">
        <w:rPr>
          <w:rFonts w:eastAsia="Times New Roman" w:cs="Times New Roman"/>
          <w:color w:val="000000" w:themeColor="text1"/>
        </w:rPr>
        <w:t>We decided to not include this information in the paper for the sake of conciseness. It must be noted, however, that the interested reader can obtain the whole model calibration information (catalogue, completeness table, etc.) directly from the GEM foundation, who is currently preparing a public repository where model build-up will be openly available.</w:t>
      </w:r>
      <w:r w:rsidR="001F1921" w:rsidRPr="001D6BFA">
        <w:rPr>
          <w:rFonts w:eastAsia="Times New Roman" w:cs="Times New Roman"/>
          <w:color w:val="000000" w:themeColor="text1"/>
        </w:rPr>
        <w:t xml:space="preserve"> Reference is </w:t>
      </w:r>
      <w:r w:rsidR="00EF613F" w:rsidRPr="001D6BFA">
        <w:rPr>
          <w:rFonts w:eastAsia="Times New Roman" w:cs="Times New Roman"/>
          <w:color w:val="000000" w:themeColor="text1"/>
        </w:rPr>
        <w:t>added</w:t>
      </w:r>
      <w:r w:rsidR="001F1921" w:rsidRPr="001D6BFA">
        <w:rPr>
          <w:rFonts w:eastAsia="Times New Roman" w:cs="Times New Roman"/>
          <w:color w:val="000000" w:themeColor="text1"/>
        </w:rPr>
        <w:t xml:space="preserve"> to the</w:t>
      </w:r>
      <w:r w:rsidR="0030079B" w:rsidRPr="001D6BFA">
        <w:rPr>
          <w:rFonts w:eastAsia="Times New Roman" w:cs="Times New Roman"/>
          <w:color w:val="000000" w:themeColor="text1"/>
        </w:rPr>
        <w:t xml:space="preserve"> </w:t>
      </w:r>
      <w:r w:rsidR="00B25435" w:rsidRPr="001D6BFA">
        <w:rPr>
          <w:rFonts w:eastAsia="Times New Roman" w:cs="Times New Roman"/>
          <w:color w:val="000000" w:themeColor="text1"/>
        </w:rPr>
        <w:t>“</w:t>
      </w:r>
      <w:r w:rsidR="0030079B" w:rsidRPr="001D6BFA">
        <w:rPr>
          <w:rFonts w:eastAsia="Times New Roman" w:cs="Times New Roman"/>
          <w:color w:val="000000" w:themeColor="text1"/>
        </w:rPr>
        <w:t>Data and Resource” section.</w:t>
      </w:r>
    </w:p>
    <w:p w14:paraId="01A408B3" w14:textId="77777777" w:rsidR="0049357B" w:rsidRPr="001D6BFA" w:rsidRDefault="0049357B" w:rsidP="00997240">
      <w:pPr>
        <w:jc w:val="both"/>
        <w:rPr>
          <w:rFonts w:cs="Times New Roman"/>
        </w:rPr>
      </w:pPr>
    </w:p>
    <w:p w14:paraId="3ED784FC" w14:textId="2759BC0D"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End of second paragraph: “with rather short of incomplete earthquake records” change “of” by “or”.</w:t>
      </w:r>
    </w:p>
    <w:p w14:paraId="69F3AF07" w14:textId="3234A67C" w:rsidR="00997240" w:rsidRPr="001D6BFA" w:rsidRDefault="00997240" w:rsidP="00997240">
      <w:pPr>
        <w:jc w:val="both"/>
        <w:rPr>
          <w:rFonts w:cs="Times New Roman"/>
        </w:rPr>
      </w:pPr>
    </w:p>
    <w:p w14:paraId="28E3A901" w14:textId="661AC939" w:rsidR="0049357B" w:rsidRPr="001D6BFA" w:rsidRDefault="009A5048" w:rsidP="00997240">
      <w:pPr>
        <w:jc w:val="both"/>
        <w:rPr>
          <w:b/>
          <w:color w:val="008000"/>
        </w:rPr>
      </w:pPr>
      <w:r w:rsidRPr="001D6BFA">
        <w:rPr>
          <w:b/>
          <w:color w:val="008000"/>
        </w:rPr>
        <w:t>AR:</w:t>
      </w:r>
      <w:r w:rsidR="001009F6" w:rsidRPr="001D6BFA">
        <w:rPr>
          <w:color w:val="000000" w:themeColor="text1"/>
        </w:rPr>
        <w:t xml:space="preserve"> Corrected</w:t>
      </w:r>
    </w:p>
    <w:p w14:paraId="7F427FAB" w14:textId="77777777" w:rsidR="009A5048" w:rsidRPr="001D6BFA" w:rsidRDefault="009A5048" w:rsidP="00997240">
      <w:pPr>
        <w:jc w:val="both"/>
        <w:rPr>
          <w:rFonts w:cs="Times New Roman"/>
        </w:rPr>
      </w:pPr>
    </w:p>
    <w:p w14:paraId="6D1599C7" w14:textId="5F480BA5" w:rsidR="00997240" w:rsidRPr="001D6BFA" w:rsidRDefault="00997240" w:rsidP="00997240">
      <w:pPr>
        <w:jc w:val="both"/>
        <w:rPr>
          <w:rFonts w:cs="Times New Roman"/>
          <w:b/>
        </w:rPr>
      </w:pPr>
      <w:r w:rsidRPr="001D6BFA">
        <w:rPr>
          <w:rFonts w:cs="Times New Roman"/>
          <w:b/>
        </w:rPr>
        <w:t>Section 6.2: Spatial Variability of Earthquake occurrence</w:t>
      </w:r>
    </w:p>
    <w:p w14:paraId="70B94626" w14:textId="0375FE68" w:rsidR="00997240" w:rsidRPr="001D6BFA" w:rsidRDefault="00C82844" w:rsidP="00997240">
      <w:pPr>
        <w:jc w:val="both"/>
        <w:rPr>
          <w:rFonts w:cs="Times New Roman"/>
        </w:rPr>
      </w:pPr>
      <w:r w:rsidRPr="001D6BFA">
        <w:rPr>
          <w:b/>
          <w:color w:val="FF6600"/>
        </w:rPr>
        <w:t>R1</w:t>
      </w:r>
      <w:r w:rsidRPr="001D6BFA">
        <w:t xml:space="preserve">: </w:t>
      </w:r>
      <w:r w:rsidR="00997240" w:rsidRPr="001D6BFA">
        <w:rPr>
          <w:rFonts w:cs="Times New Roman"/>
        </w:rPr>
        <w:t>Last paragraph: the smoothing approach is usually used as alternative to the area source with spatially constant activity within each source. The application of smoothing within area sources is interesting, however, I would have expected one branch of the logic-tree populated with the traditional area source approach. Maybe the case with the large decay parameter is close to the “classical” approach?</w:t>
      </w:r>
    </w:p>
    <w:p w14:paraId="2A5A64B0" w14:textId="39CB50EF" w:rsidR="00997240" w:rsidRPr="001D6BFA" w:rsidRDefault="00997240" w:rsidP="00997240">
      <w:pPr>
        <w:jc w:val="both"/>
        <w:rPr>
          <w:rFonts w:cs="Times New Roman"/>
        </w:rPr>
      </w:pPr>
    </w:p>
    <w:p w14:paraId="47ECA96E" w14:textId="1334E646" w:rsidR="00BB2E5C" w:rsidRPr="001D6BFA" w:rsidRDefault="009A5048" w:rsidP="00920B59">
      <w:pPr>
        <w:jc w:val="both"/>
        <w:rPr>
          <w:b/>
          <w:color w:val="008000"/>
        </w:rPr>
      </w:pPr>
      <w:r w:rsidRPr="001D6BFA">
        <w:rPr>
          <w:b/>
          <w:color w:val="008000"/>
        </w:rPr>
        <w:t>AR:</w:t>
      </w:r>
      <w:r w:rsidR="003C5DA5" w:rsidRPr="001D6BFA">
        <w:rPr>
          <w:color w:val="000000" w:themeColor="text1"/>
        </w:rPr>
        <w:t xml:space="preserve"> </w:t>
      </w:r>
      <w:r w:rsidR="00862E89" w:rsidRPr="001D6BFA">
        <w:rPr>
          <w:color w:val="000000" w:themeColor="text1"/>
        </w:rPr>
        <w:t xml:space="preserve">This is correctly described </w:t>
      </w:r>
      <w:r w:rsidR="00EC7C30">
        <w:rPr>
          <w:color w:val="000000" w:themeColor="text1"/>
        </w:rPr>
        <w:t>i</w:t>
      </w:r>
      <w:r w:rsidR="00862E89" w:rsidRPr="001D6BFA">
        <w:rPr>
          <w:color w:val="000000" w:themeColor="text1"/>
        </w:rPr>
        <w:t>n the sentence “</w:t>
      </w:r>
      <w:r w:rsidR="00862E89" w:rsidRPr="001D6BFA">
        <w:rPr>
          <w:i/>
          <w:color w:val="000000" w:themeColor="text1"/>
        </w:rPr>
        <w:t>A theoretical infinite value of λ would produce a homogenous area source</w:t>
      </w:r>
      <w:r w:rsidR="00862E89" w:rsidRPr="001D6BFA">
        <w:rPr>
          <w:color w:val="000000" w:themeColor="text1"/>
        </w:rPr>
        <w:t>”.</w:t>
      </w:r>
      <w:r w:rsidR="00920B59" w:rsidRPr="001D6BFA">
        <w:rPr>
          <w:color w:val="000000" w:themeColor="text1"/>
        </w:rPr>
        <w:t xml:space="preserve"> A</w:t>
      </w:r>
      <w:r w:rsidR="00862E89" w:rsidRPr="001D6BFA">
        <w:rPr>
          <w:color w:val="000000" w:themeColor="text1"/>
        </w:rPr>
        <w:t xml:space="preserve"> value of </w:t>
      </w:r>
      <w:r w:rsidR="004A2F7B" w:rsidRPr="001D6BFA">
        <w:rPr>
          <w:color w:val="000000" w:themeColor="text1"/>
        </w:rPr>
        <w:t xml:space="preserve">100 </w:t>
      </w:r>
      <w:r w:rsidR="00862E89" w:rsidRPr="001D6BFA">
        <w:rPr>
          <w:color w:val="000000" w:themeColor="text1"/>
        </w:rPr>
        <w:t xml:space="preserve">(upper bound of model uncertainty) </w:t>
      </w:r>
      <w:r w:rsidR="00920B59" w:rsidRPr="001D6BFA">
        <w:rPr>
          <w:color w:val="000000" w:themeColor="text1"/>
        </w:rPr>
        <w:t xml:space="preserve">produces a smoothed model that is nearly </w:t>
      </w:r>
      <w:r w:rsidR="00F41C1A">
        <w:rPr>
          <w:color w:val="000000" w:themeColor="text1"/>
        </w:rPr>
        <w:t xml:space="preserve">a </w:t>
      </w:r>
      <w:r w:rsidR="00920B59" w:rsidRPr="001D6BFA">
        <w:rPr>
          <w:color w:val="000000" w:themeColor="text1"/>
        </w:rPr>
        <w:t>homogenous area source</w:t>
      </w:r>
      <w:r w:rsidR="004F632E">
        <w:rPr>
          <w:color w:val="000000" w:themeColor="text1"/>
        </w:rPr>
        <w:t xml:space="preserve"> model</w:t>
      </w:r>
      <w:r w:rsidR="00920B59" w:rsidRPr="001D6BFA">
        <w:rPr>
          <w:color w:val="000000" w:themeColor="text1"/>
        </w:rPr>
        <w:t>.</w:t>
      </w:r>
      <w:r w:rsidR="003C5DA5" w:rsidRPr="001D6BFA">
        <w:rPr>
          <w:color w:val="000000" w:themeColor="text1"/>
        </w:rPr>
        <w:t xml:space="preserve"> </w:t>
      </w:r>
      <w:r w:rsidR="004A2F7B" w:rsidRPr="001D6BFA">
        <w:rPr>
          <w:color w:val="000000" w:themeColor="text1"/>
        </w:rPr>
        <w:t>Therefore, u</w:t>
      </w:r>
      <w:r w:rsidR="00365947" w:rsidRPr="001D6BFA">
        <w:rPr>
          <w:color w:val="000000" w:themeColor="text1"/>
        </w:rPr>
        <w:t xml:space="preserve">sing an additional branch for </w:t>
      </w:r>
      <w:r w:rsidR="00365947" w:rsidRPr="001D6BFA">
        <w:rPr>
          <w:color w:val="000000" w:themeColor="text1"/>
        </w:rPr>
        <w:lastRenderedPageBreak/>
        <w:t>area sources would have represented a sort of “duplication” of the smoothed model with large decay</w:t>
      </w:r>
      <w:r w:rsidR="00B51E34" w:rsidRPr="001D6BFA">
        <w:rPr>
          <w:color w:val="000000" w:themeColor="text1"/>
        </w:rPr>
        <w:t xml:space="preserve"> factor</w:t>
      </w:r>
      <w:r w:rsidR="00365947" w:rsidRPr="001D6BFA">
        <w:rPr>
          <w:color w:val="000000" w:themeColor="text1"/>
        </w:rPr>
        <w:t>, de facto introducing an over-weighting of this interpretation.</w:t>
      </w:r>
    </w:p>
    <w:p w14:paraId="76B7C608" w14:textId="77777777" w:rsidR="009A5048" w:rsidRPr="001D6BFA" w:rsidRDefault="009A5048" w:rsidP="00997240">
      <w:pPr>
        <w:jc w:val="both"/>
        <w:rPr>
          <w:rFonts w:cs="Times New Roman"/>
        </w:rPr>
      </w:pPr>
    </w:p>
    <w:p w14:paraId="0EC51E83" w14:textId="448E8393" w:rsidR="00997240" w:rsidRPr="001D6BFA" w:rsidRDefault="00997240" w:rsidP="00997240">
      <w:pPr>
        <w:jc w:val="both"/>
        <w:rPr>
          <w:rFonts w:cs="Times New Roman"/>
          <w:b/>
        </w:rPr>
      </w:pPr>
      <w:r w:rsidRPr="001D6BFA">
        <w:rPr>
          <w:rFonts w:cs="Times New Roman"/>
          <w:b/>
        </w:rPr>
        <w:t>Section 7</w:t>
      </w:r>
    </w:p>
    <w:p w14:paraId="3B30410F" w14:textId="7F6E2DEC" w:rsidR="00997240" w:rsidRPr="001D6BFA" w:rsidRDefault="00C82844" w:rsidP="00997240">
      <w:pPr>
        <w:jc w:val="both"/>
        <w:rPr>
          <w:rFonts w:cs="Times New Roman"/>
        </w:rPr>
      </w:pPr>
      <w:r w:rsidRPr="001D6BFA">
        <w:rPr>
          <w:b/>
          <w:color w:val="FF6600"/>
        </w:rPr>
        <w:t>R1</w:t>
      </w:r>
      <w:r w:rsidRPr="001D6BFA">
        <w:t xml:space="preserve">: </w:t>
      </w:r>
      <w:r w:rsidR="00997240" w:rsidRPr="001D6BFA">
        <w:rPr>
          <w:rFonts w:cs="Times New Roman"/>
        </w:rPr>
        <w:t>Sixth paragraph (end of page 20): “The maximum magnitude of the MFD is derived by applying the Leonard (2014) scaling relations”. Can the author justify the use of these specific relations amongst the existing ones?</w:t>
      </w:r>
    </w:p>
    <w:p w14:paraId="7CB9D004" w14:textId="6748BF52" w:rsidR="00C82844" w:rsidRPr="001D6BFA" w:rsidRDefault="00C82844" w:rsidP="00997240">
      <w:pPr>
        <w:jc w:val="both"/>
        <w:rPr>
          <w:rFonts w:cs="Times New Roman"/>
        </w:rPr>
      </w:pPr>
    </w:p>
    <w:p w14:paraId="6CE09709" w14:textId="75BA4A0A" w:rsidR="00714A44" w:rsidRPr="001D6BFA" w:rsidRDefault="009A5048" w:rsidP="00997240">
      <w:pPr>
        <w:jc w:val="both"/>
        <w:rPr>
          <w:b/>
          <w:color w:val="008000"/>
        </w:rPr>
      </w:pPr>
      <w:r w:rsidRPr="001D6BFA">
        <w:rPr>
          <w:b/>
          <w:color w:val="008000"/>
        </w:rPr>
        <w:t>AR:</w:t>
      </w:r>
      <w:r w:rsidR="00D7010F" w:rsidRPr="001D6BFA">
        <w:t xml:space="preserve"> The use of </w:t>
      </w:r>
      <w:proofErr w:type="spellStart"/>
      <w:r w:rsidR="00D7010F" w:rsidRPr="001D6BFA">
        <w:t>Lean</w:t>
      </w:r>
      <w:r w:rsidR="00FD55D0" w:rsidRPr="001D6BFA">
        <w:t>a</w:t>
      </w:r>
      <w:r w:rsidR="00D7010F" w:rsidRPr="001D6BFA">
        <w:t>rd</w:t>
      </w:r>
      <w:proofErr w:type="spellEnd"/>
      <w:r w:rsidR="00D7010F" w:rsidRPr="001D6BFA">
        <w:t xml:space="preserve"> (2014) seems to be more appropriate than other scaling relations we tested, as it</w:t>
      </w:r>
      <w:r w:rsidR="00A0026F" w:rsidRPr="001D6BFA">
        <w:t>s</w:t>
      </w:r>
      <w:r w:rsidR="00D7010F" w:rsidRPr="001D6BFA">
        <w:t xml:space="preserve"> </w:t>
      </w:r>
      <w:r w:rsidR="00E4126E" w:rsidRPr="001D6BFA">
        <w:t xml:space="preserve">constraints help </w:t>
      </w:r>
      <w:r w:rsidR="00D7010F" w:rsidRPr="001D6BFA">
        <w:t>avoid</w:t>
      </w:r>
      <w:r w:rsidR="00E4126E" w:rsidRPr="001D6BFA">
        <w:t>ing</w:t>
      </w:r>
      <w:r w:rsidR="00D7010F" w:rsidRPr="001D6BFA">
        <w:t xml:space="preserve"> the development of </w:t>
      </w:r>
      <w:r w:rsidR="00BC3C1B" w:rsidRPr="001D6BFA">
        <w:t xml:space="preserve">rather </w:t>
      </w:r>
      <w:r w:rsidR="00D7010F" w:rsidRPr="001D6BFA">
        <w:t xml:space="preserve">unrealistic </w:t>
      </w:r>
      <w:r w:rsidR="00ED6293">
        <w:t xml:space="preserve">(elongated) </w:t>
      </w:r>
      <w:r w:rsidR="00D7010F" w:rsidRPr="001D6BFA">
        <w:t>fault geometries at large depth.</w:t>
      </w:r>
    </w:p>
    <w:p w14:paraId="63424255" w14:textId="77777777" w:rsidR="009A5048" w:rsidRPr="001D6BFA" w:rsidRDefault="009A5048" w:rsidP="00997240">
      <w:pPr>
        <w:jc w:val="both"/>
        <w:rPr>
          <w:rFonts w:cs="Times New Roman"/>
        </w:rPr>
      </w:pPr>
    </w:p>
    <w:p w14:paraId="453CC280" w14:textId="3A7EA3AB"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Sixth paragraph (end of page 20): “with the additional constraint of not exceeding the maximum magnitude realistically expected for the source group”. How is the maximum magnitude realistically expected computed?</w:t>
      </w:r>
    </w:p>
    <w:p w14:paraId="2219DDA0" w14:textId="7FF79F53" w:rsidR="00C82844" w:rsidRPr="001D6BFA" w:rsidRDefault="00C82844" w:rsidP="00997240">
      <w:pPr>
        <w:jc w:val="both"/>
        <w:rPr>
          <w:rFonts w:cs="Times New Roman"/>
        </w:rPr>
      </w:pPr>
    </w:p>
    <w:p w14:paraId="59A83B4C" w14:textId="5105AA71" w:rsidR="009A5048" w:rsidRPr="001D6BFA" w:rsidRDefault="009A5048" w:rsidP="00997240">
      <w:pPr>
        <w:jc w:val="both"/>
        <w:rPr>
          <w:rFonts w:cs="Times New Roman"/>
        </w:rPr>
      </w:pPr>
      <w:r w:rsidRPr="001D6BFA">
        <w:rPr>
          <w:b/>
          <w:color w:val="008000"/>
        </w:rPr>
        <w:t>AR:</w:t>
      </w:r>
      <w:r w:rsidR="00720ACA" w:rsidRPr="001D6BFA">
        <w:t xml:space="preserve"> </w:t>
      </w:r>
      <w:r w:rsidR="00BA38F7" w:rsidRPr="001D6BFA">
        <w:t>As described in section 6.1.2, the</w:t>
      </w:r>
      <w:r w:rsidR="00720ACA" w:rsidRPr="001D6BFA">
        <w:t xml:space="preserve"> expected maximum magnitude </w:t>
      </w:r>
      <w:r w:rsidR="00BA38F7" w:rsidRPr="001D6BFA">
        <w:t xml:space="preserve">for the source group is assumed to be the maximum observed plus </w:t>
      </w:r>
      <w:r w:rsidR="00977375" w:rsidRPr="001D6BFA">
        <w:t xml:space="preserve">a conservative </w:t>
      </w:r>
      <w:r w:rsidR="00BA38F7" w:rsidRPr="001D6BFA">
        <w:t>0.5 magnitude units.</w:t>
      </w:r>
      <w:r w:rsidR="00BC3C1B" w:rsidRPr="001D6BFA">
        <w:t xml:space="preserve"> We </w:t>
      </w:r>
      <w:r w:rsidR="002737B5">
        <w:t xml:space="preserve">simply </w:t>
      </w:r>
      <w:r w:rsidR="00BC3C1B" w:rsidRPr="001D6BFA">
        <w:t>impose</w:t>
      </w:r>
      <w:r w:rsidR="00FE6A0E">
        <w:t>d</w:t>
      </w:r>
      <w:r w:rsidR="00BC3C1B" w:rsidRPr="001D6BFA">
        <w:t xml:space="preserve"> the model to </w:t>
      </w:r>
      <w:r w:rsidR="00FE6A0E">
        <w:t xml:space="preserve">not </w:t>
      </w:r>
      <w:r w:rsidR="00BC3C1B" w:rsidRPr="001D6BFA">
        <w:t>exceed this value</w:t>
      </w:r>
      <w:r w:rsidR="003E5AFE" w:rsidRPr="001D6BFA">
        <w:t>.</w:t>
      </w:r>
      <w:r w:rsidR="00DF4E74" w:rsidRPr="001D6BFA">
        <w:t xml:space="preserve"> We agree that the term “realistically” might be misleading</w:t>
      </w:r>
      <w:r w:rsidR="00A76B6D" w:rsidRPr="001D6BFA">
        <w:t xml:space="preserve">, </w:t>
      </w:r>
      <w:r w:rsidR="001C5475" w:rsidRPr="001D6BFA">
        <w:t xml:space="preserve">as </w:t>
      </w:r>
      <w:r w:rsidR="004C1E0E">
        <w:t>these are</w:t>
      </w:r>
      <w:r w:rsidR="001C5475" w:rsidRPr="001D6BFA">
        <w:t xml:space="preserve"> just modelling assumption, </w:t>
      </w:r>
      <w:r w:rsidR="00A76B6D" w:rsidRPr="001D6BFA">
        <w:t xml:space="preserve">and </w:t>
      </w:r>
      <w:r w:rsidR="001C5475" w:rsidRPr="001D6BFA">
        <w:t xml:space="preserve">therefore we </w:t>
      </w:r>
      <w:r w:rsidR="00A76B6D" w:rsidRPr="001D6BFA">
        <w:t>remove it from the sentence.</w:t>
      </w:r>
    </w:p>
    <w:p w14:paraId="29DEC69B" w14:textId="77777777" w:rsidR="009A5048" w:rsidRPr="001D6BFA" w:rsidRDefault="009A5048" w:rsidP="00997240">
      <w:pPr>
        <w:jc w:val="both"/>
        <w:rPr>
          <w:rFonts w:cs="Times New Roman"/>
        </w:rPr>
      </w:pPr>
    </w:p>
    <w:p w14:paraId="2F1FBB28" w14:textId="793D29EF" w:rsidR="00997240" w:rsidRPr="001D6BFA" w:rsidRDefault="00DC2C12" w:rsidP="00997240">
      <w:pPr>
        <w:jc w:val="both"/>
        <w:rPr>
          <w:rFonts w:cs="Times New Roman"/>
        </w:rPr>
      </w:pPr>
      <w:r w:rsidRPr="001D6BFA">
        <w:rPr>
          <w:b/>
          <w:color w:val="FF6600"/>
        </w:rPr>
        <w:t>R2</w:t>
      </w:r>
      <w:r w:rsidRPr="001D6BFA">
        <w:t xml:space="preserve">: </w:t>
      </w:r>
      <w:r w:rsidR="00997240" w:rsidRPr="001D6BFA">
        <w:rPr>
          <w:rFonts w:cs="Times New Roman"/>
        </w:rPr>
        <w:t>Last paragraph</w:t>
      </w:r>
      <w:r w:rsidR="00C82844" w:rsidRPr="001D6BFA">
        <w:rPr>
          <w:rFonts w:cs="Times New Roman"/>
        </w:rPr>
        <w:t xml:space="preserve">: </w:t>
      </w:r>
      <w:r w:rsidR="00997240" w:rsidRPr="001D6BFA">
        <w:rPr>
          <w:rFonts w:cs="Times New Roman"/>
        </w:rPr>
        <w:t>The construction of the background model is not very clear.</w:t>
      </w:r>
    </w:p>
    <w:p w14:paraId="601AC617" w14:textId="6215564E" w:rsidR="00997240" w:rsidRPr="001D6BFA" w:rsidRDefault="00997240" w:rsidP="00997240">
      <w:pPr>
        <w:jc w:val="both"/>
        <w:rPr>
          <w:rFonts w:cs="Times New Roman"/>
        </w:rPr>
      </w:pPr>
    </w:p>
    <w:p w14:paraId="679CDFB3" w14:textId="2458A140" w:rsidR="009A5048" w:rsidRPr="001D6BFA" w:rsidRDefault="009A5048" w:rsidP="00997240">
      <w:pPr>
        <w:jc w:val="both"/>
        <w:rPr>
          <w:rFonts w:cs="Times New Roman"/>
        </w:rPr>
      </w:pPr>
      <w:r w:rsidRPr="001D6BFA">
        <w:rPr>
          <w:b/>
          <w:color w:val="008000"/>
        </w:rPr>
        <w:t>AR:</w:t>
      </w:r>
      <w:r w:rsidR="00235CA2" w:rsidRPr="001D6BFA">
        <w:t xml:space="preserve"> </w:t>
      </w:r>
      <w:r w:rsidR="006C78D0" w:rsidRPr="001D6BFA">
        <w:t>The procedure</w:t>
      </w:r>
      <w:r w:rsidR="000425A4" w:rsidRPr="001D6BFA">
        <w:t xml:space="preserve"> we used</w:t>
      </w:r>
      <w:r w:rsidR="006C78D0" w:rsidRPr="001D6BFA">
        <w:t xml:space="preserve"> for the </w:t>
      </w:r>
      <w:r w:rsidR="000425A4" w:rsidRPr="001D6BFA">
        <w:t>construction</w:t>
      </w:r>
      <w:r w:rsidR="006C78D0" w:rsidRPr="001D6BFA">
        <w:t xml:space="preserve"> of the background model is no</w:t>
      </w:r>
      <w:r w:rsidR="000425A4" w:rsidRPr="001D6BFA">
        <w:t>w</w:t>
      </w:r>
      <w:r w:rsidR="006C78D0" w:rsidRPr="001D6BFA">
        <w:t xml:space="preserve"> described more in detail at the end of section 7.</w:t>
      </w:r>
    </w:p>
    <w:p w14:paraId="6CA7D2DF" w14:textId="77777777" w:rsidR="009A5048" w:rsidRPr="001D6BFA" w:rsidRDefault="009A5048" w:rsidP="00997240">
      <w:pPr>
        <w:jc w:val="both"/>
        <w:rPr>
          <w:rFonts w:cs="Times New Roman"/>
        </w:rPr>
      </w:pPr>
    </w:p>
    <w:p w14:paraId="6F5BAC18" w14:textId="68D575F2" w:rsidR="00997240" w:rsidRPr="001D6BFA" w:rsidRDefault="00997240" w:rsidP="00997240">
      <w:pPr>
        <w:jc w:val="both"/>
        <w:rPr>
          <w:rFonts w:cs="Times New Roman"/>
          <w:b/>
        </w:rPr>
      </w:pPr>
      <w:r w:rsidRPr="001D6BFA">
        <w:rPr>
          <w:rFonts w:cs="Times New Roman"/>
          <w:b/>
        </w:rPr>
        <w:t>Section 8 Ground-Motion</w:t>
      </w:r>
    </w:p>
    <w:p w14:paraId="55D7A969" w14:textId="12DA8A94" w:rsidR="00997240" w:rsidRPr="001D6BFA" w:rsidRDefault="00C82844" w:rsidP="00997240">
      <w:pPr>
        <w:jc w:val="both"/>
        <w:rPr>
          <w:rFonts w:cs="Times New Roman"/>
        </w:rPr>
      </w:pPr>
      <w:r w:rsidRPr="001D6BFA">
        <w:rPr>
          <w:b/>
          <w:color w:val="FF6600"/>
        </w:rPr>
        <w:t>R1</w:t>
      </w:r>
      <w:r w:rsidRPr="001D6BFA">
        <w:t xml:space="preserve">: </w:t>
      </w:r>
      <w:r w:rsidR="00997240" w:rsidRPr="001D6BFA">
        <w:rPr>
          <w:rFonts w:cs="Times New Roman"/>
        </w:rPr>
        <w:t>Third paragraph: Group C for the ground-motion model has been introduced as a transition zone between active and stable parts of the region to avoid abrupt variations of ground-motion. Looking at the maps, it seems that there are transition zones in northern Libya and Northern Egypt. However, there is no transition in the North-South direction between northern Morocco and the central-southern part. Also, it seems that the area source</w:t>
      </w:r>
      <w:r w:rsidR="00BA5070" w:rsidRPr="001D6BFA">
        <w:rPr>
          <w:rFonts w:cs="Times New Roman"/>
        </w:rPr>
        <w:t xml:space="preserve"> </w:t>
      </w:r>
      <w:r w:rsidR="00997240" w:rsidRPr="001D6BFA">
        <w:rPr>
          <w:rFonts w:cs="Times New Roman"/>
        </w:rPr>
        <w:t xml:space="preserve">groups shown on Figure 3 have not been defined </w:t>
      </w:r>
      <w:proofErr w:type="gramStart"/>
      <w:r w:rsidR="00997240" w:rsidRPr="001D6BFA">
        <w:rPr>
          <w:rFonts w:cs="Times New Roman"/>
        </w:rPr>
        <w:t>taking into account</w:t>
      </w:r>
      <w:proofErr w:type="gramEnd"/>
      <w:r w:rsidR="00997240" w:rsidRPr="001D6BFA">
        <w:rPr>
          <w:rFonts w:cs="Times New Roman"/>
        </w:rPr>
        <w:t>, at least partly, the tectonic classification shown in Figure 9. Can the authors elaborate on this?</w:t>
      </w:r>
    </w:p>
    <w:p w14:paraId="07B833B7" w14:textId="41460073" w:rsidR="00C82844" w:rsidRPr="001D6BFA" w:rsidRDefault="00C82844" w:rsidP="00997240">
      <w:pPr>
        <w:jc w:val="both"/>
        <w:rPr>
          <w:rFonts w:cs="Times New Roman"/>
        </w:rPr>
      </w:pPr>
    </w:p>
    <w:p w14:paraId="1BF663DB" w14:textId="6EDC2EF9" w:rsidR="00CD187A" w:rsidRPr="001D6BFA" w:rsidRDefault="009A5048" w:rsidP="00997240">
      <w:pPr>
        <w:jc w:val="both"/>
        <w:rPr>
          <w:rFonts w:cs="Times New Roman"/>
        </w:rPr>
      </w:pPr>
      <w:r w:rsidRPr="001D6BFA">
        <w:rPr>
          <w:b/>
          <w:color w:val="008000"/>
        </w:rPr>
        <w:t>AR:</w:t>
      </w:r>
      <w:r w:rsidR="00D43C4F" w:rsidRPr="001D6BFA">
        <w:t xml:space="preserve"> </w:t>
      </w:r>
      <w:r w:rsidR="005C5DAC" w:rsidRPr="001D6BFA">
        <w:t xml:space="preserve">The inconsistency identified by the reviewer is due to a mistake in Table 10, where the characteristics of zone B (AS+SC) and C (SC) </w:t>
      </w:r>
      <w:r w:rsidR="0061232C" w:rsidRPr="001D6BFA">
        <w:t>have been</w:t>
      </w:r>
      <w:r w:rsidR="005C5DAC" w:rsidRPr="001D6BFA">
        <w:t xml:space="preserve"> accidentally </w:t>
      </w:r>
      <w:r w:rsidR="00673CEE">
        <w:t>swapped</w:t>
      </w:r>
      <w:r w:rsidR="005C5DAC" w:rsidRPr="001D6BFA">
        <w:t xml:space="preserve">. The table </w:t>
      </w:r>
      <w:r w:rsidR="00E7504C">
        <w:t>is now</w:t>
      </w:r>
      <w:r w:rsidR="005C5DAC" w:rsidRPr="001D6BFA">
        <w:t xml:space="preserve"> fixed</w:t>
      </w:r>
      <w:r w:rsidR="00A768CC" w:rsidRPr="001D6BFA">
        <w:t xml:space="preserve"> </w:t>
      </w:r>
      <w:r w:rsidR="00E7504C">
        <w:t>in agreement with the</w:t>
      </w:r>
      <w:r w:rsidR="00BB236B" w:rsidRPr="001D6BFA">
        <w:t xml:space="preserve"> </w:t>
      </w:r>
      <w:r w:rsidR="00A768CC" w:rsidRPr="001D6BFA">
        <w:t>implemented the source model</w:t>
      </w:r>
      <w:r w:rsidR="00CA7498" w:rsidRPr="001D6BFA">
        <w:t>. T</w:t>
      </w:r>
      <w:r w:rsidR="005C5DAC" w:rsidRPr="001D6BFA">
        <w:t>h</w:t>
      </w:r>
      <w:r w:rsidR="005859F2">
        <w:t>erefore, the</w:t>
      </w:r>
      <w:r w:rsidR="005C5DAC" w:rsidRPr="001D6BFA">
        <w:t xml:space="preserve"> </w:t>
      </w:r>
      <w:r w:rsidR="00CA7498" w:rsidRPr="001D6BFA">
        <w:t>zonation</w:t>
      </w:r>
      <w:r w:rsidR="005C5DAC" w:rsidRPr="001D6BFA">
        <w:t xml:space="preserve"> is </w:t>
      </w:r>
      <w:r w:rsidR="00CA7498" w:rsidRPr="001D6BFA">
        <w:t>now</w:t>
      </w:r>
      <w:r w:rsidR="005C5DAC" w:rsidRPr="001D6BFA">
        <w:t xml:space="preserve"> </w:t>
      </w:r>
      <w:r w:rsidR="00D86AC1">
        <w:t xml:space="preserve">logically </w:t>
      </w:r>
      <w:r w:rsidR="005C5DAC" w:rsidRPr="001D6BFA">
        <w:t xml:space="preserve">compatible with the </w:t>
      </w:r>
      <w:r w:rsidR="00CA7498" w:rsidRPr="001D6BFA">
        <w:t>proposed</w:t>
      </w:r>
      <w:r w:rsidR="005C5DAC" w:rsidRPr="001D6BFA">
        <w:t xml:space="preserve"> </w:t>
      </w:r>
      <w:r w:rsidR="00CA7498" w:rsidRPr="001D6BFA">
        <w:t xml:space="preserve">classification </w:t>
      </w:r>
      <w:r w:rsidR="00917FED" w:rsidRPr="001D6BFA">
        <w:t>methodology</w:t>
      </w:r>
      <w:r w:rsidR="005C5DAC" w:rsidRPr="001D6BFA">
        <w:t>. We apologize for the mistake.</w:t>
      </w:r>
    </w:p>
    <w:p w14:paraId="0DAB8D1F" w14:textId="77777777" w:rsidR="005A705C" w:rsidRPr="001D6BFA" w:rsidRDefault="005A705C" w:rsidP="00997240">
      <w:pPr>
        <w:jc w:val="both"/>
        <w:rPr>
          <w:rFonts w:cs="Times New Roman"/>
        </w:rPr>
      </w:pPr>
    </w:p>
    <w:p w14:paraId="0B27843F" w14:textId="285E2F70" w:rsidR="007E5DDF" w:rsidRPr="001D6BFA" w:rsidRDefault="00E54261" w:rsidP="00997240">
      <w:pPr>
        <w:jc w:val="both"/>
      </w:pPr>
      <w:r w:rsidRPr="001D6BFA">
        <w:t xml:space="preserve">To answer the reviewer question, </w:t>
      </w:r>
      <w:r w:rsidR="00D43C4F" w:rsidRPr="001D6BFA">
        <w:t xml:space="preserve">the </w:t>
      </w:r>
      <w:r w:rsidR="00A76B0A" w:rsidRPr="001D6BFA">
        <w:t>original zonation</w:t>
      </w:r>
      <w:r w:rsidR="00D43C4F" w:rsidRPr="001D6BFA">
        <w:t xml:space="preserve"> presented in figure 3 </w:t>
      </w:r>
      <w:r w:rsidR="007E5DDF" w:rsidRPr="001D6BFA">
        <w:t xml:space="preserve">was </w:t>
      </w:r>
      <w:r w:rsidR="003D4B13" w:rsidRPr="001D6BFA">
        <w:t xml:space="preserve">actually </w:t>
      </w:r>
      <w:r w:rsidR="007E5DDF" w:rsidRPr="001D6BFA">
        <w:t xml:space="preserve">done taking in consideration </w:t>
      </w:r>
      <w:r w:rsidR="003D4B13" w:rsidRPr="001D6BFA">
        <w:t xml:space="preserve">also </w:t>
      </w:r>
      <w:r w:rsidR="007E5DDF" w:rsidRPr="001D6BFA">
        <w:t>the results of Chen</w:t>
      </w:r>
      <w:r w:rsidR="00CB088C" w:rsidRPr="001D6BFA">
        <w:t xml:space="preserve"> </w:t>
      </w:r>
      <w:r w:rsidR="003D4B13" w:rsidRPr="001D6BFA">
        <w:t>(</w:t>
      </w:r>
      <w:r w:rsidR="00807C4F" w:rsidRPr="001D6BFA">
        <w:t xml:space="preserve">at least, </w:t>
      </w:r>
      <w:r w:rsidR="00CB088C" w:rsidRPr="001D6BFA">
        <w:t>to some exten</w:t>
      </w:r>
      <w:r w:rsidR="00574F64" w:rsidRPr="001D6BFA">
        <w:t>t</w:t>
      </w:r>
      <w:r w:rsidR="003D4B13" w:rsidRPr="001D6BFA">
        <w:t>)</w:t>
      </w:r>
      <w:r w:rsidR="007E5DDF" w:rsidRPr="001D6BFA">
        <w:t xml:space="preserve">, although the </w:t>
      </w:r>
      <w:r w:rsidR="0096557D" w:rsidRPr="001D6BFA">
        <w:t xml:space="preserve">subsequent </w:t>
      </w:r>
      <w:r w:rsidR="00EB72DB" w:rsidRPr="001D6BFA">
        <w:t xml:space="preserve">source </w:t>
      </w:r>
      <w:r w:rsidR="00A76B0A" w:rsidRPr="001D6BFA">
        <w:t xml:space="preserve">grouping was performed with a different rationale (and for a different purpose) than that </w:t>
      </w:r>
      <w:r w:rsidR="006B069D" w:rsidRPr="001D6BFA">
        <w:t>discussed in Section 8</w:t>
      </w:r>
      <w:r w:rsidR="00534752" w:rsidRPr="001D6BFA">
        <w:t xml:space="preserve"> for the definition of ground motion models.</w:t>
      </w:r>
    </w:p>
    <w:p w14:paraId="0D2BA040" w14:textId="77777777" w:rsidR="009A5048" w:rsidRPr="001D6BFA" w:rsidRDefault="009A5048" w:rsidP="00997240">
      <w:pPr>
        <w:jc w:val="both"/>
        <w:rPr>
          <w:rFonts w:cs="Times New Roman"/>
        </w:rPr>
      </w:pPr>
    </w:p>
    <w:p w14:paraId="4D8B0E64" w14:textId="30D911B3" w:rsidR="00997240" w:rsidRPr="001D6BFA" w:rsidRDefault="00F6152D" w:rsidP="00997240">
      <w:pPr>
        <w:jc w:val="both"/>
        <w:rPr>
          <w:rFonts w:cs="Times New Roman"/>
        </w:rPr>
      </w:pPr>
      <w:r w:rsidRPr="001D6BFA">
        <w:rPr>
          <w:b/>
          <w:color w:val="FF6600"/>
        </w:rPr>
        <w:t>R2</w:t>
      </w:r>
      <w:r w:rsidRPr="001D6BFA">
        <w:t xml:space="preserve">: </w:t>
      </w:r>
      <w:r w:rsidR="00997240" w:rsidRPr="001D6BFA">
        <w:rPr>
          <w:rFonts w:cs="Times New Roman"/>
        </w:rPr>
        <w:t xml:space="preserve">Last paragraph: there is no argumentation for the selection of the 4 GMPEs used for calculation amongst all the GMPEs available. The argumentation is also not provided in Poggi et al. (2017). As </w:t>
      </w:r>
      <w:r w:rsidR="00997240" w:rsidRPr="001D6BFA">
        <w:rPr>
          <w:rFonts w:cs="Times New Roman"/>
        </w:rPr>
        <w:lastRenderedPageBreak/>
        <w:t>stated in the discussion, the GMPE selection has a large impact on the hazard results. Some more arguments to justify the ground-motion model is needed.</w:t>
      </w:r>
    </w:p>
    <w:p w14:paraId="4F55D802" w14:textId="303BF51C" w:rsidR="00997240" w:rsidRPr="001D6BFA" w:rsidRDefault="00997240" w:rsidP="00997240">
      <w:pPr>
        <w:jc w:val="both"/>
        <w:rPr>
          <w:rFonts w:cs="Times New Roman"/>
        </w:rPr>
      </w:pPr>
    </w:p>
    <w:p w14:paraId="7E0AEEF9" w14:textId="497EC094" w:rsidR="00DA1B40" w:rsidRPr="001D6BFA" w:rsidRDefault="009A5048" w:rsidP="00997240">
      <w:pPr>
        <w:jc w:val="both"/>
      </w:pPr>
      <w:r w:rsidRPr="001D6BFA">
        <w:rPr>
          <w:b/>
          <w:color w:val="008000"/>
        </w:rPr>
        <w:t>AR:</w:t>
      </w:r>
      <w:r w:rsidR="00DA1B40" w:rsidRPr="001D6BFA">
        <w:t xml:space="preserve"> As </w:t>
      </w:r>
      <w:r w:rsidR="001B6351" w:rsidRPr="001D6BFA">
        <w:t>described</w:t>
      </w:r>
      <w:r w:rsidR="00DA1B40" w:rsidRPr="001D6BFA">
        <w:t xml:space="preserve"> in the second paragraph of the Section 8, given the unavailability of earthquake records for the calibration, we had to rely on indirect selection criteria</w:t>
      </w:r>
      <w:r w:rsidR="00D502EC" w:rsidRPr="001D6BFA">
        <w:t xml:space="preserve">, as </w:t>
      </w:r>
      <w:r w:rsidR="001327A3">
        <w:t xml:space="preserve">those </w:t>
      </w:r>
      <w:r w:rsidR="00D502EC" w:rsidRPr="001D6BFA">
        <w:t>suggested in Cotton et al. 2006.</w:t>
      </w:r>
      <w:r w:rsidR="00DA1B40" w:rsidRPr="001D6BFA">
        <w:t xml:space="preserve"> In practice, from </w:t>
      </w:r>
      <w:r w:rsidR="00C05A45" w:rsidRPr="001D6BFA">
        <w:t>th</w:t>
      </w:r>
      <w:r w:rsidR="00190960" w:rsidRPr="001D6BFA">
        <w:t>e</w:t>
      </w:r>
      <w:r w:rsidR="00C05A45" w:rsidRPr="001D6BFA">
        <w:t xml:space="preserve"> GMPE</w:t>
      </w:r>
      <w:r w:rsidR="00AB2824" w:rsidRPr="001D6BFA">
        <w:t>s</w:t>
      </w:r>
      <w:r w:rsidR="00C05A45" w:rsidRPr="001D6BFA">
        <w:t xml:space="preserve"> available in the</w:t>
      </w:r>
      <w:r w:rsidR="00DA1B40" w:rsidRPr="001D6BFA">
        <w:t xml:space="preserve"> </w:t>
      </w:r>
      <w:proofErr w:type="spellStart"/>
      <w:r w:rsidR="00DA1B40" w:rsidRPr="001D6BFA">
        <w:t>hazardlib</w:t>
      </w:r>
      <w:proofErr w:type="spellEnd"/>
      <w:r w:rsidR="00D502EC" w:rsidRPr="001D6BFA">
        <w:t xml:space="preserve"> library, we have first identified those </w:t>
      </w:r>
      <w:r w:rsidR="00C05A45" w:rsidRPr="001D6BFA">
        <w:t>models</w:t>
      </w:r>
      <w:r w:rsidR="00D502EC" w:rsidRPr="001D6BFA">
        <w:t xml:space="preserve"> </w:t>
      </w:r>
      <w:r w:rsidR="00586A9A" w:rsidRPr="001D6BFA">
        <w:t xml:space="preserve">ideally more </w:t>
      </w:r>
      <w:r w:rsidR="00D502EC" w:rsidRPr="001D6BFA">
        <w:t>compatible with the t</w:t>
      </w:r>
      <w:r w:rsidR="00586A9A" w:rsidRPr="001D6BFA">
        <w:t>arget region,</w:t>
      </w:r>
      <w:r w:rsidR="00D502EC" w:rsidRPr="001D6BFA">
        <w:t xml:space="preserve"> and then ranked the </w:t>
      </w:r>
      <w:r w:rsidR="008503D8">
        <w:t>selected</w:t>
      </w:r>
      <w:bookmarkStart w:id="0" w:name="_GoBack"/>
      <w:bookmarkEnd w:id="0"/>
      <w:r w:rsidR="00D502EC" w:rsidRPr="001D6BFA">
        <w:t xml:space="preserve"> </w:t>
      </w:r>
      <w:r w:rsidR="00586A9A" w:rsidRPr="001D6BFA">
        <w:t xml:space="preserve">GMPEs </w:t>
      </w:r>
      <w:r w:rsidR="00D502EC" w:rsidRPr="001D6BFA">
        <w:t xml:space="preserve">in relation to their </w:t>
      </w:r>
      <w:r w:rsidR="00586A9A" w:rsidRPr="001D6BFA">
        <w:t xml:space="preserve">overall </w:t>
      </w:r>
      <w:r w:rsidR="00D502EC" w:rsidRPr="001D6BFA">
        <w:t xml:space="preserve">performance </w:t>
      </w:r>
      <w:r w:rsidR="00586A9A" w:rsidRPr="001D6BFA">
        <w:t xml:space="preserve">and robustness </w:t>
      </w:r>
      <w:r w:rsidR="00D502EC" w:rsidRPr="001D6BFA">
        <w:t>(based on literature</w:t>
      </w:r>
      <w:r w:rsidR="00586A9A" w:rsidRPr="001D6BFA">
        <w:t xml:space="preserve"> review</w:t>
      </w:r>
      <w:r w:rsidR="00D502EC" w:rsidRPr="001D6BFA">
        <w:t>)</w:t>
      </w:r>
      <w:r w:rsidR="00586A9A" w:rsidRPr="001D6BFA">
        <w:t>.</w:t>
      </w:r>
      <w:r w:rsidR="0085529C" w:rsidRPr="001D6BFA">
        <w:t xml:space="preserve"> An additional </w:t>
      </w:r>
      <w:r w:rsidR="00A728F2">
        <w:t>clarification</w:t>
      </w:r>
      <w:r w:rsidR="0085529C" w:rsidRPr="001D6BFA">
        <w:t xml:space="preserve"> has been added to end of the section.</w:t>
      </w:r>
    </w:p>
    <w:p w14:paraId="5D1F4B86" w14:textId="77777777" w:rsidR="009A5048" w:rsidRPr="001D6BFA" w:rsidRDefault="009A5048" w:rsidP="00997240">
      <w:pPr>
        <w:jc w:val="both"/>
        <w:rPr>
          <w:rFonts w:cs="Times New Roman"/>
        </w:rPr>
      </w:pPr>
    </w:p>
    <w:p w14:paraId="6AB3E5B9" w14:textId="7E2E3FE3" w:rsidR="00997240" w:rsidRPr="001D6BFA" w:rsidRDefault="00997240" w:rsidP="00997240">
      <w:pPr>
        <w:jc w:val="both"/>
        <w:rPr>
          <w:rFonts w:cs="Times New Roman"/>
          <w:b/>
        </w:rPr>
      </w:pPr>
      <w:r w:rsidRPr="001D6BFA">
        <w:rPr>
          <w:rFonts w:cs="Times New Roman"/>
          <w:b/>
        </w:rPr>
        <w:t>Section 9 Source Model Uncertainties</w:t>
      </w:r>
    </w:p>
    <w:p w14:paraId="1280CA6B" w14:textId="52F365AF" w:rsidR="00997240" w:rsidRPr="001D6BFA" w:rsidRDefault="00F6152D" w:rsidP="00997240">
      <w:pPr>
        <w:jc w:val="both"/>
        <w:rPr>
          <w:rFonts w:cs="Times New Roman"/>
        </w:rPr>
      </w:pPr>
      <w:r w:rsidRPr="001D6BFA">
        <w:rPr>
          <w:b/>
          <w:color w:val="FF6600"/>
        </w:rPr>
        <w:t>R2</w:t>
      </w:r>
      <w:r w:rsidRPr="001D6BFA">
        <w:t xml:space="preserve">: </w:t>
      </w:r>
      <w:r w:rsidR="00997240" w:rsidRPr="001D6BFA">
        <w:rPr>
          <w:rFonts w:cs="Times New Roman"/>
        </w:rPr>
        <w:t>Third paragraph: The relative errors on the maximum magnitude and b-values are given without rationale. Please justify these choices (there is a link with the previous comment regarding the choice of the minimum magnitude used to compute the seismic activity parameter in Section 6.1.2). Regarding the fault model, no uncertainty on either the slip rate, b-value (which is based on the computed area source b-values) or maximum magnitude are included. Please justify.</w:t>
      </w:r>
    </w:p>
    <w:p w14:paraId="346EFDBB" w14:textId="09307867" w:rsidR="00997240" w:rsidRPr="001D6BFA" w:rsidRDefault="00997240" w:rsidP="00997240">
      <w:pPr>
        <w:jc w:val="both"/>
        <w:rPr>
          <w:rFonts w:cs="Times New Roman"/>
        </w:rPr>
      </w:pPr>
    </w:p>
    <w:p w14:paraId="5704A91D" w14:textId="77777777" w:rsidR="008B72CA" w:rsidRPr="001D6BFA" w:rsidRDefault="009A5048" w:rsidP="00997240">
      <w:pPr>
        <w:jc w:val="both"/>
      </w:pPr>
      <w:r w:rsidRPr="001D6BFA">
        <w:rPr>
          <w:b/>
          <w:color w:val="008000"/>
        </w:rPr>
        <w:t>AR:</w:t>
      </w:r>
      <w:r w:rsidR="00774C96" w:rsidRPr="001D6BFA">
        <w:rPr>
          <w:b/>
          <w:color w:val="008000"/>
        </w:rPr>
        <w:t xml:space="preserve"> </w:t>
      </w:r>
      <w:r w:rsidR="00613186" w:rsidRPr="001D6BFA">
        <w:t>A</w:t>
      </w:r>
      <w:r w:rsidR="00774C96" w:rsidRPr="001D6BFA">
        <w:t xml:space="preserve">dditional considerations </w:t>
      </w:r>
      <w:r w:rsidR="0073303F" w:rsidRPr="001D6BFA">
        <w:t xml:space="preserve">regarding the uncertainty on </w:t>
      </w:r>
      <w:proofErr w:type="spellStart"/>
      <w:r w:rsidR="0073303F" w:rsidRPr="001D6BFA">
        <w:t>Mmax</w:t>
      </w:r>
      <w:proofErr w:type="spellEnd"/>
      <w:r w:rsidR="0073303F" w:rsidRPr="001D6BFA">
        <w:t xml:space="preserve"> and b-value </w:t>
      </w:r>
      <w:r w:rsidR="00774C96" w:rsidRPr="001D6BFA">
        <w:t>have been added to the second last paragraph of section</w:t>
      </w:r>
      <w:r w:rsidR="00EC44F3" w:rsidRPr="001D6BFA">
        <w:t xml:space="preserve"> 9</w:t>
      </w:r>
      <w:r w:rsidR="00774C96" w:rsidRPr="001D6BFA">
        <w:t>.</w:t>
      </w:r>
    </w:p>
    <w:p w14:paraId="2387B7C0" w14:textId="3B4AB44C" w:rsidR="009A5048" w:rsidRPr="001D6BFA" w:rsidRDefault="008B72CA" w:rsidP="00997240">
      <w:pPr>
        <w:jc w:val="both"/>
      </w:pPr>
      <w:r w:rsidRPr="001D6BFA">
        <w:t>Regarding</w:t>
      </w:r>
      <w:r w:rsidR="0073303F" w:rsidRPr="001D6BFA">
        <w:t xml:space="preserve"> the fault mode</w:t>
      </w:r>
      <w:r w:rsidR="00613186" w:rsidRPr="001D6BFA">
        <w:t>l</w:t>
      </w:r>
      <w:r w:rsidRPr="001D6BFA">
        <w:t xml:space="preserve"> uncertainty</w:t>
      </w:r>
      <w:r w:rsidR="00613186" w:rsidRPr="001D6BFA">
        <w:t xml:space="preserve">, </w:t>
      </w:r>
      <w:r w:rsidRPr="001D6BFA">
        <w:t>we were initially considering to include it</w:t>
      </w:r>
      <w:r w:rsidR="009E363D" w:rsidRPr="001D6BFA">
        <w:t>, but we had to face some technical limitations.</w:t>
      </w:r>
      <w:r w:rsidRPr="001D6BFA">
        <w:t xml:space="preserve"> </w:t>
      </w:r>
      <w:r w:rsidR="009E363D" w:rsidRPr="001D6BFA">
        <w:t>So far</w:t>
      </w:r>
      <w:r w:rsidRPr="001D6BFA">
        <w:t xml:space="preserve">, the only possibility to do that </w:t>
      </w:r>
      <w:r w:rsidR="001A33D6" w:rsidRPr="001D6BFA">
        <w:t>for faults</w:t>
      </w:r>
      <w:r w:rsidR="009E363D" w:rsidRPr="001D6BFA">
        <w:t xml:space="preserve"> is</w:t>
      </w:r>
      <w:r w:rsidR="001A33D6" w:rsidRPr="001D6BFA">
        <w:t xml:space="preserve"> to</w:t>
      </w:r>
      <w:r w:rsidRPr="001D6BFA">
        <w:t xml:space="preserve"> </w:t>
      </w:r>
      <w:r w:rsidR="001A33D6" w:rsidRPr="001D6BFA">
        <w:t xml:space="preserve">manually </w:t>
      </w:r>
      <w:r w:rsidRPr="001D6BFA">
        <w:t>creat</w:t>
      </w:r>
      <w:r w:rsidR="009E363D" w:rsidRPr="001D6BFA">
        <w:t>e</w:t>
      </w:r>
      <w:r w:rsidRPr="001D6BFA">
        <w:t xml:space="preserve"> a separate </w:t>
      </w:r>
      <w:r w:rsidR="00782CAA" w:rsidRPr="001D6BFA">
        <w:t>(thus</w:t>
      </w:r>
      <w:r w:rsidR="00D32D25" w:rsidRPr="001D6BFA">
        <w:t xml:space="preserve"> different</w:t>
      </w:r>
      <w:r w:rsidR="00782CAA" w:rsidRPr="001D6BFA">
        <w:t>)</w:t>
      </w:r>
      <w:r w:rsidR="00D32D25" w:rsidRPr="001D6BFA">
        <w:t xml:space="preserve"> </w:t>
      </w:r>
      <w:r w:rsidRPr="001D6BFA">
        <w:t xml:space="preserve">xml source model for </w:t>
      </w:r>
      <w:r w:rsidR="00C20112" w:rsidRPr="001D6BFA">
        <w:t xml:space="preserve">each </w:t>
      </w:r>
      <w:r w:rsidR="00CC4991" w:rsidRPr="001D6BFA">
        <w:t>logic-tree</w:t>
      </w:r>
      <w:r w:rsidR="009E363D" w:rsidRPr="001D6BFA">
        <w:t xml:space="preserve"> end-branch</w:t>
      </w:r>
      <w:r w:rsidR="00CC4991" w:rsidRPr="001D6BFA">
        <w:t xml:space="preserve">. </w:t>
      </w:r>
      <w:r w:rsidR="001007DA" w:rsidRPr="001D6BFA">
        <w:t>Unfortunately, this</w:t>
      </w:r>
      <w:r w:rsidR="00CC4991" w:rsidRPr="001D6BFA">
        <w:t xml:space="preserve"> would have </w:t>
      </w:r>
      <w:r w:rsidR="001007DA" w:rsidRPr="001D6BFA">
        <w:t>led to a</w:t>
      </w:r>
      <w:r w:rsidR="00CC4991" w:rsidRPr="001D6BFA">
        <w:t xml:space="preserve"> source model</w:t>
      </w:r>
      <w:r w:rsidR="001007DA" w:rsidRPr="001D6BFA">
        <w:t xml:space="preserve"> complexity </w:t>
      </w:r>
      <w:r w:rsidR="00E02056" w:rsidRPr="001D6BFA">
        <w:t>too</w:t>
      </w:r>
      <w:r w:rsidR="001007DA" w:rsidRPr="001D6BFA">
        <w:t xml:space="preserve"> difficult to handle.</w:t>
      </w:r>
      <w:r w:rsidR="00782CAA" w:rsidRPr="001D6BFA">
        <w:t xml:space="preserve"> For that reason, we limited the epistemic variability of the model to what </w:t>
      </w:r>
      <w:r w:rsidR="0078289A" w:rsidRPr="001D6BFA">
        <w:t>proposed</w:t>
      </w:r>
      <w:r w:rsidR="00782CAA" w:rsidRPr="001D6BFA">
        <w:t xml:space="preserve">. </w:t>
      </w:r>
      <w:r w:rsidR="00E65277" w:rsidRPr="001D6BFA">
        <w:t>Nonetheless, w</w:t>
      </w:r>
      <w:r w:rsidR="00782CAA" w:rsidRPr="001D6BFA">
        <w:t xml:space="preserve">e are confident that </w:t>
      </w:r>
      <w:r w:rsidR="00846692">
        <w:t xml:space="preserve">in </w:t>
      </w:r>
      <w:r w:rsidR="00782CAA" w:rsidRPr="001D6BFA">
        <w:t>future implementation</w:t>
      </w:r>
      <w:r w:rsidR="00846692">
        <w:t>s,</w:t>
      </w:r>
      <w:r w:rsidR="00782CAA" w:rsidRPr="001D6BFA">
        <w:t xml:space="preserve"> the OQ engine will allow a more appropriate handling of the fault uncertainty</w:t>
      </w:r>
      <w:r w:rsidR="00C732BF" w:rsidRPr="001D6BFA">
        <w:t xml:space="preserve"> (particularly when slip rates are used).</w:t>
      </w:r>
      <w:r w:rsidR="00D40A04" w:rsidRPr="001D6BFA">
        <w:t xml:space="preserve"> These </w:t>
      </w:r>
      <w:r w:rsidR="00435B58" w:rsidRPr="001D6BFA">
        <w:t>considerations</w:t>
      </w:r>
      <w:r w:rsidR="00D40A04" w:rsidRPr="001D6BFA">
        <w:t xml:space="preserve"> are now summarized at the end of the second last paragraph.</w:t>
      </w:r>
    </w:p>
    <w:p w14:paraId="42AEFC44" w14:textId="77777777" w:rsidR="009A5048" w:rsidRPr="001D6BFA" w:rsidRDefault="009A5048" w:rsidP="00997240">
      <w:pPr>
        <w:jc w:val="both"/>
        <w:rPr>
          <w:rFonts w:cs="Times New Roman"/>
        </w:rPr>
      </w:pPr>
    </w:p>
    <w:p w14:paraId="71E22709" w14:textId="2B4C97F9" w:rsidR="00997240" w:rsidRPr="001D6BFA" w:rsidRDefault="00997240" w:rsidP="00997240">
      <w:pPr>
        <w:jc w:val="both"/>
        <w:rPr>
          <w:rFonts w:cs="Times New Roman"/>
          <w:b/>
        </w:rPr>
      </w:pPr>
      <w:r w:rsidRPr="001D6BFA">
        <w:rPr>
          <w:rFonts w:cs="Times New Roman"/>
          <w:b/>
        </w:rPr>
        <w:t>Section 10.1 Calculation settings</w:t>
      </w:r>
    </w:p>
    <w:p w14:paraId="0C007F01" w14:textId="7F7A40CC" w:rsidR="00997240" w:rsidRPr="001D6BFA" w:rsidRDefault="00C82844" w:rsidP="00997240">
      <w:pPr>
        <w:jc w:val="both"/>
        <w:rPr>
          <w:rFonts w:cs="Times New Roman"/>
        </w:rPr>
      </w:pPr>
      <w:r w:rsidRPr="001D6BFA">
        <w:rPr>
          <w:b/>
          <w:color w:val="FF6600"/>
        </w:rPr>
        <w:t>R</w:t>
      </w:r>
      <w:r w:rsidR="00F6152D" w:rsidRPr="001D6BFA">
        <w:rPr>
          <w:b/>
          <w:color w:val="FF6600"/>
        </w:rPr>
        <w:t>2</w:t>
      </w:r>
      <w:r w:rsidRPr="001D6BFA">
        <w:t xml:space="preserve">: </w:t>
      </w:r>
      <w:r w:rsidR="00997240" w:rsidRPr="001D6BFA">
        <w:rPr>
          <w:rFonts w:cs="Times New Roman"/>
        </w:rPr>
        <w:t>First paragraph: Please indicate the Vs30 used for calculation (760 or 800 m/s).</w:t>
      </w:r>
    </w:p>
    <w:p w14:paraId="65D50A96" w14:textId="6F12B128" w:rsidR="00997240" w:rsidRPr="001D6BFA" w:rsidRDefault="00997240" w:rsidP="00997240">
      <w:pPr>
        <w:jc w:val="both"/>
        <w:rPr>
          <w:rFonts w:cs="Times New Roman"/>
        </w:rPr>
      </w:pPr>
    </w:p>
    <w:p w14:paraId="3B232CF0" w14:textId="69B03393" w:rsidR="009A5048" w:rsidRPr="001D6BFA" w:rsidRDefault="009A5048" w:rsidP="00997240">
      <w:pPr>
        <w:jc w:val="both"/>
        <w:rPr>
          <w:rFonts w:cs="Times New Roman"/>
        </w:rPr>
      </w:pPr>
      <w:r w:rsidRPr="001D6BFA">
        <w:rPr>
          <w:b/>
          <w:color w:val="008000"/>
        </w:rPr>
        <w:t>AR:</w:t>
      </w:r>
      <w:r w:rsidR="005D1DB0" w:rsidRPr="001D6BFA">
        <w:rPr>
          <w:color w:val="000000" w:themeColor="text1"/>
        </w:rPr>
        <w:t xml:space="preserve"> Changed to 800m/s</w:t>
      </w:r>
    </w:p>
    <w:p w14:paraId="75ACCE6B" w14:textId="77777777" w:rsidR="009A5048" w:rsidRPr="001D6BFA" w:rsidRDefault="009A5048" w:rsidP="00997240">
      <w:pPr>
        <w:jc w:val="both"/>
        <w:rPr>
          <w:rFonts w:cs="Times New Roman"/>
        </w:rPr>
      </w:pPr>
    </w:p>
    <w:p w14:paraId="0A151139" w14:textId="2108B358" w:rsidR="00997240" w:rsidRPr="001D6BFA" w:rsidRDefault="00997240" w:rsidP="00997240">
      <w:pPr>
        <w:jc w:val="both"/>
        <w:rPr>
          <w:rFonts w:cs="Times New Roman"/>
          <w:b/>
        </w:rPr>
      </w:pPr>
      <w:r w:rsidRPr="001D6BFA">
        <w:rPr>
          <w:rFonts w:cs="Times New Roman"/>
          <w:b/>
        </w:rPr>
        <w:t>Section 10.2.1</w:t>
      </w:r>
    </w:p>
    <w:p w14:paraId="65427299" w14:textId="1288F6DD" w:rsidR="00997240" w:rsidRPr="001D6BFA" w:rsidRDefault="00C82844" w:rsidP="00997240">
      <w:pPr>
        <w:jc w:val="both"/>
        <w:rPr>
          <w:rFonts w:cs="Times New Roman"/>
        </w:rPr>
      </w:pPr>
      <w:r w:rsidRPr="001D6BFA">
        <w:rPr>
          <w:b/>
          <w:color w:val="FF6600"/>
        </w:rPr>
        <w:t>R</w:t>
      </w:r>
      <w:r w:rsidR="00F6152D" w:rsidRPr="001D6BFA">
        <w:rPr>
          <w:b/>
          <w:color w:val="FF6600"/>
        </w:rPr>
        <w:t>2</w:t>
      </w:r>
      <w:r w:rsidRPr="001D6BFA">
        <w:t xml:space="preserve">: </w:t>
      </w:r>
      <w:r w:rsidR="00997240" w:rsidRPr="001D6BFA">
        <w:rPr>
          <w:rFonts w:cs="Times New Roman"/>
        </w:rPr>
        <w:t xml:space="preserve">Second paragraph: Looking at the hazard curve, in addition to the particular shape observed at PGA for Rabat highlighted by the authors, the hazard curve at PGA for Cairo also shows a particular shape, the decrease of probabilities with increasing acceleration is not as fast as observed for Algiers and Tunis (in those case, the PGA curve crosses the </w:t>
      </w:r>
      <w:proofErr w:type="gramStart"/>
      <w:r w:rsidR="00997240" w:rsidRPr="001D6BFA">
        <w:rPr>
          <w:rFonts w:cs="Times New Roman"/>
        </w:rPr>
        <w:t>SA(</w:t>
      </w:r>
      <w:proofErr w:type="gramEnd"/>
      <w:r w:rsidR="00997240" w:rsidRPr="001D6BFA">
        <w:rPr>
          <w:rFonts w:cs="Times New Roman"/>
        </w:rPr>
        <w:t xml:space="preserve">0.5) curve which is not observed for Cairo). Do the authors have an explanation for this? There seem to be no fault close to Cairo </w:t>
      </w:r>
      <w:proofErr w:type="spellStart"/>
      <w:r w:rsidR="00997240" w:rsidRPr="001D6BFA">
        <w:rPr>
          <w:rFonts w:cs="Times New Roman"/>
        </w:rPr>
        <w:t>n</w:t>
      </w:r>
      <w:proofErr w:type="spellEnd"/>
      <w:r w:rsidR="00997240" w:rsidRPr="001D6BFA">
        <w:rPr>
          <w:rFonts w:cs="Times New Roman"/>
        </w:rPr>
        <w:t xml:space="preserve"> the model. Is this an effect of the Grong-Motion model?</w:t>
      </w:r>
    </w:p>
    <w:p w14:paraId="58631AB8" w14:textId="54FB6513" w:rsidR="00997240" w:rsidRPr="001D6BFA" w:rsidRDefault="00997240" w:rsidP="00997240">
      <w:pPr>
        <w:jc w:val="both"/>
        <w:rPr>
          <w:rFonts w:cs="Times New Roman"/>
        </w:rPr>
      </w:pPr>
    </w:p>
    <w:p w14:paraId="246B01F5" w14:textId="5386A0E0" w:rsidR="003B5D92" w:rsidRPr="001D6BFA" w:rsidRDefault="00534B53" w:rsidP="00997240">
      <w:pPr>
        <w:jc w:val="both"/>
        <w:rPr>
          <w:color w:val="000000" w:themeColor="text1"/>
        </w:rPr>
      </w:pPr>
      <w:r w:rsidRPr="001D6BFA">
        <w:rPr>
          <w:b/>
          <w:color w:val="008000"/>
        </w:rPr>
        <w:t>AR:</w:t>
      </w:r>
      <w:r w:rsidRPr="001D6BFA">
        <w:rPr>
          <w:color w:val="000000" w:themeColor="text1"/>
        </w:rPr>
        <w:t xml:space="preserve"> </w:t>
      </w:r>
      <w:r w:rsidR="006A7EF4" w:rsidRPr="001D6BFA">
        <w:rPr>
          <w:color w:val="000000" w:themeColor="text1"/>
        </w:rPr>
        <w:t xml:space="preserve">We don’t have a </w:t>
      </w:r>
      <w:r w:rsidR="008363A7" w:rsidRPr="001D6BFA">
        <w:rPr>
          <w:color w:val="000000" w:themeColor="text1"/>
        </w:rPr>
        <w:t>definitive</w:t>
      </w:r>
      <w:r w:rsidR="000A597D" w:rsidRPr="001D6BFA">
        <w:rPr>
          <w:color w:val="000000" w:themeColor="text1"/>
        </w:rPr>
        <w:t xml:space="preserve"> explanation</w:t>
      </w:r>
      <w:r w:rsidR="006A7EF4" w:rsidRPr="001D6BFA">
        <w:rPr>
          <w:color w:val="000000" w:themeColor="text1"/>
        </w:rPr>
        <w:t xml:space="preserve"> for that. </w:t>
      </w:r>
      <w:r w:rsidR="00740094" w:rsidRPr="001D6BFA">
        <w:rPr>
          <w:color w:val="000000" w:themeColor="text1"/>
        </w:rPr>
        <w:t xml:space="preserve">The ground motion model is </w:t>
      </w:r>
      <w:r w:rsidR="00DA10DA" w:rsidRPr="001D6BFA">
        <w:rPr>
          <w:color w:val="000000" w:themeColor="text1"/>
        </w:rPr>
        <w:t>likely</w:t>
      </w:r>
      <w:r w:rsidR="00740094" w:rsidRPr="001D6BFA">
        <w:rPr>
          <w:color w:val="000000" w:themeColor="text1"/>
        </w:rPr>
        <w:t xml:space="preserve"> not </w:t>
      </w:r>
      <w:r w:rsidR="00674BD3" w:rsidRPr="001D6BFA">
        <w:rPr>
          <w:color w:val="000000" w:themeColor="text1"/>
        </w:rPr>
        <w:t>the cause</w:t>
      </w:r>
      <w:r w:rsidR="00740094" w:rsidRPr="001D6BFA">
        <w:rPr>
          <w:color w:val="000000" w:themeColor="text1"/>
        </w:rPr>
        <w:t xml:space="preserve">, as both </w:t>
      </w:r>
      <w:proofErr w:type="spellStart"/>
      <w:r w:rsidR="00740094" w:rsidRPr="001D6BFA">
        <w:rPr>
          <w:color w:val="000000" w:themeColor="text1"/>
        </w:rPr>
        <w:t>Tunisi</w:t>
      </w:r>
      <w:proofErr w:type="spellEnd"/>
      <w:r w:rsidR="00740094" w:rsidRPr="001D6BFA">
        <w:rPr>
          <w:color w:val="000000" w:themeColor="text1"/>
        </w:rPr>
        <w:t xml:space="preserve">, Algiers and Rabat are falling in the Active Shallow Crust domain, </w:t>
      </w:r>
      <w:r w:rsidR="002F57B4" w:rsidRPr="001D6BFA">
        <w:rPr>
          <w:color w:val="000000" w:themeColor="text1"/>
        </w:rPr>
        <w:t>using therefore</w:t>
      </w:r>
      <w:r w:rsidR="00740094" w:rsidRPr="001D6BFA">
        <w:rPr>
          <w:color w:val="000000" w:themeColor="text1"/>
        </w:rPr>
        <w:t xml:space="preserve"> the same </w:t>
      </w:r>
      <w:r w:rsidR="00925492" w:rsidRPr="001D6BFA">
        <w:rPr>
          <w:color w:val="000000" w:themeColor="text1"/>
        </w:rPr>
        <w:t xml:space="preserve">combination of </w:t>
      </w:r>
      <w:r w:rsidR="00740094" w:rsidRPr="001D6BFA">
        <w:rPr>
          <w:color w:val="000000" w:themeColor="text1"/>
        </w:rPr>
        <w:t>GMP</w:t>
      </w:r>
      <w:r w:rsidR="00925492" w:rsidRPr="001D6BFA">
        <w:rPr>
          <w:color w:val="000000" w:themeColor="text1"/>
        </w:rPr>
        <w:t>E</w:t>
      </w:r>
      <w:r w:rsidR="00740094" w:rsidRPr="001D6BFA">
        <w:rPr>
          <w:color w:val="000000" w:themeColor="text1"/>
        </w:rPr>
        <w:t xml:space="preserve">. </w:t>
      </w:r>
      <w:r w:rsidR="00DA1A90" w:rsidRPr="001D6BFA">
        <w:rPr>
          <w:color w:val="000000" w:themeColor="text1"/>
        </w:rPr>
        <w:t>In our opinion, this might be</w:t>
      </w:r>
      <w:r w:rsidR="00740094" w:rsidRPr="001D6BFA">
        <w:rPr>
          <w:color w:val="000000" w:themeColor="text1"/>
        </w:rPr>
        <w:t xml:space="preserve"> due to differences in the b-values across the </w:t>
      </w:r>
      <w:r w:rsidR="00096933" w:rsidRPr="001D6BFA">
        <w:rPr>
          <w:color w:val="000000" w:themeColor="text1"/>
        </w:rPr>
        <w:t xml:space="preserve">region, which </w:t>
      </w:r>
      <w:r w:rsidR="0047391A" w:rsidRPr="001D6BFA">
        <w:rPr>
          <w:color w:val="000000" w:themeColor="text1"/>
        </w:rPr>
        <w:t>makes</w:t>
      </w:r>
      <w:r w:rsidR="00ED3D5A" w:rsidRPr="001D6BFA">
        <w:rPr>
          <w:color w:val="000000" w:themeColor="text1"/>
        </w:rPr>
        <w:t xml:space="preserve"> large magnitudes </w:t>
      </w:r>
      <w:r w:rsidR="0047391A" w:rsidRPr="001D6BFA">
        <w:rPr>
          <w:color w:val="000000" w:themeColor="text1"/>
        </w:rPr>
        <w:t>impacting</w:t>
      </w:r>
      <w:r w:rsidR="00ED3D5A" w:rsidRPr="001D6BFA">
        <w:rPr>
          <w:color w:val="000000" w:themeColor="text1"/>
        </w:rPr>
        <w:t xml:space="preserve"> differently the long</w:t>
      </w:r>
      <w:r w:rsidR="009A0561" w:rsidRPr="001D6BFA">
        <w:rPr>
          <w:color w:val="000000" w:themeColor="text1"/>
        </w:rPr>
        <w:t>er</w:t>
      </w:r>
      <w:r w:rsidR="00096933" w:rsidRPr="001D6BFA">
        <w:rPr>
          <w:color w:val="000000" w:themeColor="text1"/>
        </w:rPr>
        <w:t xml:space="preserve"> return periods</w:t>
      </w:r>
      <w:r w:rsidR="00ED3D5A" w:rsidRPr="001D6BFA">
        <w:rPr>
          <w:color w:val="000000" w:themeColor="text1"/>
        </w:rPr>
        <w:t>.</w:t>
      </w:r>
    </w:p>
    <w:p w14:paraId="2A59D724" w14:textId="77777777" w:rsidR="006A7EF4" w:rsidRPr="001D6BFA" w:rsidRDefault="006A7EF4" w:rsidP="00997240">
      <w:pPr>
        <w:jc w:val="both"/>
        <w:rPr>
          <w:color w:val="000000" w:themeColor="text1"/>
        </w:rPr>
      </w:pPr>
    </w:p>
    <w:p w14:paraId="62C33296" w14:textId="77777777" w:rsidR="006A7EF4" w:rsidRPr="001D6BFA" w:rsidRDefault="006A7EF4" w:rsidP="00997240">
      <w:pPr>
        <w:jc w:val="both"/>
        <w:rPr>
          <w:rFonts w:cs="Times New Roman"/>
        </w:rPr>
      </w:pPr>
    </w:p>
    <w:sectPr w:rsidR="006A7EF4" w:rsidRPr="001D6BFA" w:rsidSect="00775E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5D0F"/>
    <w:multiLevelType w:val="hybridMultilevel"/>
    <w:tmpl w:val="4CA47E54"/>
    <w:lvl w:ilvl="0" w:tplc="BF0A625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50CE0"/>
    <w:multiLevelType w:val="hybridMultilevel"/>
    <w:tmpl w:val="83B8A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EE"/>
    <w:rsid w:val="000074B6"/>
    <w:rsid w:val="000143A3"/>
    <w:rsid w:val="00023DB2"/>
    <w:rsid w:val="00024CA8"/>
    <w:rsid w:val="000425A4"/>
    <w:rsid w:val="00065DF1"/>
    <w:rsid w:val="00075CAC"/>
    <w:rsid w:val="00077241"/>
    <w:rsid w:val="0008619B"/>
    <w:rsid w:val="00096933"/>
    <w:rsid w:val="000A2F12"/>
    <w:rsid w:val="000A597D"/>
    <w:rsid w:val="000A64CC"/>
    <w:rsid w:val="000B240A"/>
    <w:rsid w:val="000B6B4A"/>
    <w:rsid w:val="000B7981"/>
    <w:rsid w:val="000C0A93"/>
    <w:rsid w:val="000C29F3"/>
    <w:rsid w:val="000F43A7"/>
    <w:rsid w:val="000F64B4"/>
    <w:rsid w:val="001007DA"/>
    <w:rsid w:val="001009F6"/>
    <w:rsid w:val="00103D20"/>
    <w:rsid w:val="00111C62"/>
    <w:rsid w:val="00124146"/>
    <w:rsid w:val="001327A3"/>
    <w:rsid w:val="00146C0B"/>
    <w:rsid w:val="0015363D"/>
    <w:rsid w:val="00155647"/>
    <w:rsid w:val="00164A44"/>
    <w:rsid w:val="00166CA2"/>
    <w:rsid w:val="00171536"/>
    <w:rsid w:val="001779FB"/>
    <w:rsid w:val="0018107B"/>
    <w:rsid w:val="0018676F"/>
    <w:rsid w:val="00190960"/>
    <w:rsid w:val="00191E9F"/>
    <w:rsid w:val="00197E5D"/>
    <w:rsid w:val="001A33D6"/>
    <w:rsid w:val="001B240A"/>
    <w:rsid w:val="001B6351"/>
    <w:rsid w:val="001C5475"/>
    <w:rsid w:val="001D6BFA"/>
    <w:rsid w:val="001E14DA"/>
    <w:rsid w:val="001F1921"/>
    <w:rsid w:val="001F6ABD"/>
    <w:rsid w:val="001F78F6"/>
    <w:rsid w:val="002007EA"/>
    <w:rsid w:val="00213BD4"/>
    <w:rsid w:val="002254A1"/>
    <w:rsid w:val="00230C28"/>
    <w:rsid w:val="00235CA2"/>
    <w:rsid w:val="00243119"/>
    <w:rsid w:val="002506C0"/>
    <w:rsid w:val="0026141C"/>
    <w:rsid w:val="00272156"/>
    <w:rsid w:val="002737B5"/>
    <w:rsid w:val="002760EF"/>
    <w:rsid w:val="00282B62"/>
    <w:rsid w:val="00290DE9"/>
    <w:rsid w:val="002A3DEA"/>
    <w:rsid w:val="002A5E1A"/>
    <w:rsid w:val="002C0BE6"/>
    <w:rsid w:val="002F57B4"/>
    <w:rsid w:val="002F6D12"/>
    <w:rsid w:val="002F78DE"/>
    <w:rsid w:val="0030079B"/>
    <w:rsid w:val="0032160E"/>
    <w:rsid w:val="0033238D"/>
    <w:rsid w:val="00333F39"/>
    <w:rsid w:val="00352E2C"/>
    <w:rsid w:val="0036231A"/>
    <w:rsid w:val="003646F6"/>
    <w:rsid w:val="00365947"/>
    <w:rsid w:val="00370C0B"/>
    <w:rsid w:val="00376D7A"/>
    <w:rsid w:val="00381259"/>
    <w:rsid w:val="00383635"/>
    <w:rsid w:val="00383E7B"/>
    <w:rsid w:val="00384250"/>
    <w:rsid w:val="003940BD"/>
    <w:rsid w:val="003A17EF"/>
    <w:rsid w:val="003B5D92"/>
    <w:rsid w:val="003C5DA5"/>
    <w:rsid w:val="003D08D9"/>
    <w:rsid w:val="003D4B13"/>
    <w:rsid w:val="003E5AFE"/>
    <w:rsid w:val="003E6E0C"/>
    <w:rsid w:val="003E6FA6"/>
    <w:rsid w:val="003F0616"/>
    <w:rsid w:val="004036E2"/>
    <w:rsid w:val="00412E83"/>
    <w:rsid w:val="00415CEE"/>
    <w:rsid w:val="00427713"/>
    <w:rsid w:val="00431E81"/>
    <w:rsid w:val="00435B58"/>
    <w:rsid w:val="00437322"/>
    <w:rsid w:val="004659F7"/>
    <w:rsid w:val="00467158"/>
    <w:rsid w:val="00473173"/>
    <w:rsid w:val="0047391A"/>
    <w:rsid w:val="004765A9"/>
    <w:rsid w:val="00487295"/>
    <w:rsid w:val="004879B7"/>
    <w:rsid w:val="0049357B"/>
    <w:rsid w:val="004A085C"/>
    <w:rsid w:val="004A2008"/>
    <w:rsid w:val="004A2F7B"/>
    <w:rsid w:val="004C1E0E"/>
    <w:rsid w:val="004E74C8"/>
    <w:rsid w:val="004F632E"/>
    <w:rsid w:val="004F6D15"/>
    <w:rsid w:val="004F7CDD"/>
    <w:rsid w:val="00500A7D"/>
    <w:rsid w:val="00514E7E"/>
    <w:rsid w:val="00524EE7"/>
    <w:rsid w:val="00534752"/>
    <w:rsid w:val="00534B53"/>
    <w:rsid w:val="005453EA"/>
    <w:rsid w:val="00547327"/>
    <w:rsid w:val="0055138D"/>
    <w:rsid w:val="00560552"/>
    <w:rsid w:val="005617B7"/>
    <w:rsid w:val="005654C2"/>
    <w:rsid w:val="00574A4C"/>
    <w:rsid w:val="00574F64"/>
    <w:rsid w:val="005859F2"/>
    <w:rsid w:val="00586994"/>
    <w:rsid w:val="00586A9A"/>
    <w:rsid w:val="005A33E4"/>
    <w:rsid w:val="005A705C"/>
    <w:rsid w:val="005B485D"/>
    <w:rsid w:val="005B674C"/>
    <w:rsid w:val="005C1038"/>
    <w:rsid w:val="005C5DAC"/>
    <w:rsid w:val="005D0806"/>
    <w:rsid w:val="005D0A39"/>
    <w:rsid w:val="005D1DB0"/>
    <w:rsid w:val="005D3F23"/>
    <w:rsid w:val="005E2FC4"/>
    <w:rsid w:val="005F0059"/>
    <w:rsid w:val="005F2078"/>
    <w:rsid w:val="005F3D2C"/>
    <w:rsid w:val="005F7FD3"/>
    <w:rsid w:val="00601BF7"/>
    <w:rsid w:val="00610921"/>
    <w:rsid w:val="0061232C"/>
    <w:rsid w:val="00613186"/>
    <w:rsid w:val="00613699"/>
    <w:rsid w:val="0063039F"/>
    <w:rsid w:val="00635DE6"/>
    <w:rsid w:val="00637173"/>
    <w:rsid w:val="00644A16"/>
    <w:rsid w:val="006528A1"/>
    <w:rsid w:val="006534B1"/>
    <w:rsid w:val="00657DE5"/>
    <w:rsid w:val="006715D3"/>
    <w:rsid w:val="00673CEE"/>
    <w:rsid w:val="00674BD3"/>
    <w:rsid w:val="00675178"/>
    <w:rsid w:val="00677B49"/>
    <w:rsid w:val="00683F82"/>
    <w:rsid w:val="006A7EF4"/>
    <w:rsid w:val="006B069D"/>
    <w:rsid w:val="006B540A"/>
    <w:rsid w:val="006C78D0"/>
    <w:rsid w:val="006E04BB"/>
    <w:rsid w:val="006E1944"/>
    <w:rsid w:val="006E3D9E"/>
    <w:rsid w:val="006E5790"/>
    <w:rsid w:val="006E73CF"/>
    <w:rsid w:val="006F0B17"/>
    <w:rsid w:val="006F1510"/>
    <w:rsid w:val="006F6D8E"/>
    <w:rsid w:val="006F7A17"/>
    <w:rsid w:val="00702C68"/>
    <w:rsid w:val="007136A7"/>
    <w:rsid w:val="00714A44"/>
    <w:rsid w:val="00716C2A"/>
    <w:rsid w:val="00717208"/>
    <w:rsid w:val="00720ACA"/>
    <w:rsid w:val="00726B4C"/>
    <w:rsid w:val="0073303F"/>
    <w:rsid w:val="00736BAA"/>
    <w:rsid w:val="00740094"/>
    <w:rsid w:val="007516DE"/>
    <w:rsid w:val="007536DD"/>
    <w:rsid w:val="007572A7"/>
    <w:rsid w:val="0076260A"/>
    <w:rsid w:val="007707DF"/>
    <w:rsid w:val="00774C96"/>
    <w:rsid w:val="00775E31"/>
    <w:rsid w:val="007760F5"/>
    <w:rsid w:val="00781022"/>
    <w:rsid w:val="0078289A"/>
    <w:rsid w:val="00782CAA"/>
    <w:rsid w:val="00797D97"/>
    <w:rsid w:val="007A5A3D"/>
    <w:rsid w:val="007A5E0A"/>
    <w:rsid w:val="007C2464"/>
    <w:rsid w:val="007D25BC"/>
    <w:rsid w:val="007D7024"/>
    <w:rsid w:val="007D7859"/>
    <w:rsid w:val="007D7D57"/>
    <w:rsid w:val="007D7F63"/>
    <w:rsid w:val="007E5DDF"/>
    <w:rsid w:val="007F4CDB"/>
    <w:rsid w:val="007F6338"/>
    <w:rsid w:val="00804654"/>
    <w:rsid w:val="00807C4F"/>
    <w:rsid w:val="00812225"/>
    <w:rsid w:val="008363A7"/>
    <w:rsid w:val="0084063E"/>
    <w:rsid w:val="008441C6"/>
    <w:rsid w:val="00846692"/>
    <w:rsid w:val="008503D8"/>
    <w:rsid w:val="0085529C"/>
    <w:rsid w:val="00862E89"/>
    <w:rsid w:val="008705AD"/>
    <w:rsid w:val="00880F41"/>
    <w:rsid w:val="008815F6"/>
    <w:rsid w:val="008851CD"/>
    <w:rsid w:val="008967F4"/>
    <w:rsid w:val="008A4074"/>
    <w:rsid w:val="008A7CF1"/>
    <w:rsid w:val="008B2665"/>
    <w:rsid w:val="008B72CA"/>
    <w:rsid w:val="008C14A3"/>
    <w:rsid w:val="008D1208"/>
    <w:rsid w:val="008D4A05"/>
    <w:rsid w:val="008E018E"/>
    <w:rsid w:val="008E21D4"/>
    <w:rsid w:val="008F1742"/>
    <w:rsid w:val="00902344"/>
    <w:rsid w:val="009128C0"/>
    <w:rsid w:val="0091393F"/>
    <w:rsid w:val="00917FED"/>
    <w:rsid w:val="00920B59"/>
    <w:rsid w:val="009240BC"/>
    <w:rsid w:val="00925492"/>
    <w:rsid w:val="00936F99"/>
    <w:rsid w:val="0094154B"/>
    <w:rsid w:val="009458AE"/>
    <w:rsid w:val="00947ADC"/>
    <w:rsid w:val="0096557D"/>
    <w:rsid w:val="00973750"/>
    <w:rsid w:val="00977375"/>
    <w:rsid w:val="009824E3"/>
    <w:rsid w:val="00986010"/>
    <w:rsid w:val="00990AB6"/>
    <w:rsid w:val="00995619"/>
    <w:rsid w:val="00997240"/>
    <w:rsid w:val="009A0561"/>
    <w:rsid w:val="009A5048"/>
    <w:rsid w:val="009B1330"/>
    <w:rsid w:val="009B407E"/>
    <w:rsid w:val="009C03EE"/>
    <w:rsid w:val="009D3876"/>
    <w:rsid w:val="009D4E87"/>
    <w:rsid w:val="009E1CC5"/>
    <w:rsid w:val="009E363D"/>
    <w:rsid w:val="009F0AC3"/>
    <w:rsid w:val="009F6A93"/>
    <w:rsid w:val="00A0026F"/>
    <w:rsid w:val="00A003AF"/>
    <w:rsid w:val="00A05C33"/>
    <w:rsid w:val="00A105C2"/>
    <w:rsid w:val="00A13ED0"/>
    <w:rsid w:val="00A24342"/>
    <w:rsid w:val="00A25EC6"/>
    <w:rsid w:val="00A26687"/>
    <w:rsid w:val="00A27AC0"/>
    <w:rsid w:val="00A30222"/>
    <w:rsid w:val="00A519E0"/>
    <w:rsid w:val="00A532F0"/>
    <w:rsid w:val="00A57AFA"/>
    <w:rsid w:val="00A70D55"/>
    <w:rsid w:val="00A728F2"/>
    <w:rsid w:val="00A768CC"/>
    <w:rsid w:val="00A76B0A"/>
    <w:rsid w:val="00A76B6D"/>
    <w:rsid w:val="00A8344B"/>
    <w:rsid w:val="00A84E23"/>
    <w:rsid w:val="00A9106B"/>
    <w:rsid w:val="00A91C2E"/>
    <w:rsid w:val="00AA2B84"/>
    <w:rsid w:val="00AB2824"/>
    <w:rsid w:val="00AE0D9F"/>
    <w:rsid w:val="00AE3DE0"/>
    <w:rsid w:val="00AE68C2"/>
    <w:rsid w:val="00AE6EF4"/>
    <w:rsid w:val="00AF5AD6"/>
    <w:rsid w:val="00B00AC3"/>
    <w:rsid w:val="00B047B2"/>
    <w:rsid w:val="00B25435"/>
    <w:rsid w:val="00B46A0A"/>
    <w:rsid w:val="00B51E34"/>
    <w:rsid w:val="00B56783"/>
    <w:rsid w:val="00B575A9"/>
    <w:rsid w:val="00B604E6"/>
    <w:rsid w:val="00B65A6F"/>
    <w:rsid w:val="00B6644B"/>
    <w:rsid w:val="00B70DA3"/>
    <w:rsid w:val="00BA38F7"/>
    <w:rsid w:val="00BA5070"/>
    <w:rsid w:val="00BB236B"/>
    <w:rsid w:val="00BB2E5C"/>
    <w:rsid w:val="00BB36E4"/>
    <w:rsid w:val="00BB3732"/>
    <w:rsid w:val="00BB46A0"/>
    <w:rsid w:val="00BB4BBC"/>
    <w:rsid w:val="00BB7290"/>
    <w:rsid w:val="00BC1DA9"/>
    <w:rsid w:val="00BC3C1B"/>
    <w:rsid w:val="00BD68FC"/>
    <w:rsid w:val="00BD6EAC"/>
    <w:rsid w:val="00BE3778"/>
    <w:rsid w:val="00BF21C5"/>
    <w:rsid w:val="00BF48A0"/>
    <w:rsid w:val="00C014D3"/>
    <w:rsid w:val="00C023DB"/>
    <w:rsid w:val="00C05A45"/>
    <w:rsid w:val="00C20112"/>
    <w:rsid w:val="00C24788"/>
    <w:rsid w:val="00C41BD0"/>
    <w:rsid w:val="00C46F8B"/>
    <w:rsid w:val="00C47768"/>
    <w:rsid w:val="00C57A99"/>
    <w:rsid w:val="00C63FB3"/>
    <w:rsid w:val="00C65482"/>
    <w:rsid w:val="00C70AED"/>
    <w:rsid w:val="00C732BF"/>
    <w:rsid w:val="00C77B9C"/>
    <w:rsid w:val="00C80D72"/>
    <w:rsid w:val="00C81CCA"/>
    <w:rsid w:val="00C82812"/>
    <w:rsid w:val="00C82844"/>
    <w:rsid w:val="00C84082"/>
    <w:rsid w:val="00C957D9"/>
    <w:rsid w:val="00C97992"/>
    <w:rsid w:val="00CA12AC"/>
    <w:rsid w:val="00CA7498"/>
    <w:rsid w:val="00CA77EB"/>
    <w:rsid w:val="00CB088C"/>
    <w:rsid w:val="00CB49ED"/>
    <w:rsid w:val="00CC2C8C"/>
    <w:rsid w:val="00CC4991"/>
    <w:rsid w:val="00CD187A"/>
    <w:rsid w:val="00CD54C7"/>
    <w:rsid w:val="00CF2B35"/>
    <w:rsid w:val="00CF6349"/>
    <w:rsid w:val="00D316EB"/>
    <w:rsid w:val="00D32207"/>
    <w:rsid w:val="00D32D25"/>
    <w:rsid w:val="00D368BE"/>
    <w:rsid w:val="00D40A04"/>
    <w:rsid w:val="00D43C4F"/>
    <w:rsid w:val="00D502EC"/>
    <w:rsid w:val="00D505FB"/>
    <w:rsid w:val="00D7010F"/>
    <w:rsid w:val="00D71D59"/>
    <w:rsid w:val="00D7355E"/>
    <w:rsid w:val="00D76E64"/>
    <w:rsid w:val="00D818F0"/>
    <w:rsid w:val="00D86AC1"/>
    <w:rsid w:val="00DA10DA"/>
    <w:rsid w:val="00DA1A90"/>
    <w:rsid w:val="00DA1B40"/>
    <w:rsid w:val="00DA767E"/>
    <w:rsid w:val="00DC2C12"/>
    <w:rsid w:val="00DC5F2F"/>
    <w:rsid w:val="00DC62EA"/>
    <w:rsid w:val="00DD0252"/>
    <w:rsid w:val="00DF13C1"/>
    <w:rsid w:val="00DF4710"/>
    <w:rsid w:val="00DF4E74"/>
    <w:rsid w:val="00DF7303"/>
    <w:rsid w:val="00E02056"/>
    <w:rsid w:val="00E114EE"/>
    <w:rsid w:val="00E1683C"/>
    <w:rsid w:val="00E252F3"/>
    <w:rsid w:val="00E26AAD"/>
    <w:rsid w:val="00E31C9E"/>
    <w:rsid w:val="00E31CA6"/>
    <w:rsid w:val="00E4126E"/>
    <w:rsid w:val="00E469CD"/>
    <w:rsid w:val="00E4785A"/>
    <w:rsid w:val="00E517FF"/>
    <w:rsid w:val="00E54261"/>
    <w:rsid w:val="00E60CB4"/>
    <w:rsid w:val="00E64060"/>
    <w:rsid w:val="00E651D2"/>
    <w:rsid w:val="00E65277"/>
    <w:rsid w:val="00E7504C"/>
    <w:rsid w:val="00E84D91"/>
    <w:rsid w:val="00E91D5A"/>
    <w:rsid w:val="00E95028"/>
    <w:rsid w:val="00E959A6"/>
    <w:rsid w:val="00E974F8"/>
    <w:rsid w:val="00EA075C"/>
    <w:rsid w:val="00EA0E70"/>
    <w:rsid w:val="00EA37D4"/>
    <w:rsid w:val="00EA3D38"/>
    <w:rsid w:val="00EA7C61"/>
    <w:rsid w:val="00EB1CDD"/>
    <w:rsid w:val="00EB72DB"/>
    <w:rsid w:val="00EC44F3"/>
    <w:rsid w:val="00EC7C30"/>
    <w:rsid w:val="00ED001D"/>
    <w:rsid w:val="00ED3D5A"/>
    <w:rsid w:val="00ED6293"/>
    <w:rsid w:val="00EE2ED6"/>
    <w:rsid w:val="00EE7FF7"/>
    <w:rsid w:val="00EF22C3"/>
    <w:rsid w:val="00EF613F"/>
    <w:rsid w:val="00EF778C"/>
    <w:rsid w:val="00F04961"/>
    <w:rsid w:val="00F0662A"/>
    <w:rsid w:val="00F105B3"/>
    <w:rsid w:val="00F1075D"/>
    <w:rsid w:val="00F213C9"/>
    <w:rsid w:val="00F245AA"/>
    <w:rsid w:val="00F32F75"/>
    <w:rsid w:val="00F402D3"/>
    <w:rsid w:val="00F41C1A"/>
    <w:rsid w:val="00F5227D"/>
    <w:rsid w:val="00F5488C"/>
    <w:rsid w:val="00F55769"/>
    <w:rsid w:val="00F56C80"/>
    <w:rsid w:val="00F6152D"/>
    <w:rsid w:val="00F741E3"/>
    <w:rsid w:val="00F746D7"/>
    <w:rsid w:val="00F770C3"/>
    <w:rsid w:val="00F857C0"/>
    <w:rsid w:val="00F85D55"/>
    <w:rsid w:val="00F87587"/>
    <w:rsid w:val="00F9700F"/>
    <w:rsid w:val="00FB3406"/>
    <w:rsid w:val="00FC6459"/>
    <w:rsid w:val="00FD2862"/>
    <w:rsid w:val="00FD2D41"/>
    <w:rsid w:val="00FD55D0"/>
    <w:rsid w:val="00FE0246"/>
    <w:rsid w:val="00FE0401"/>
    <w:rsid w:val="00FE12B8"/>
    <w:rsid w:val="00FE133C"/>
    <w:rsid w:val="00FE6A0E"/>
    <w:rsid w:val="00FF1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BC88"/>
  <w15:chartTrackingRefBased/>
  <w15:docId w15:val="{70AF91CF-8050-CF48-AEB8-4D75CDC7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rPr>
  </w:style>
  <w:style w:type="character" w:customStyle="1" w:styleId="HTMLPreformattedChar">
    <w:name w:val="HTML Preformatted Char"/>
    <w:basedOn w:val="DefaultParagraphFont"/>
    <w:link w:val="HTMLPreformatted"/>
    <w:uiPriority w:val="99"/>
    <w:semiHidden/>
    <w:rsid w:val="00415CEE"/>
    <w:rPr>
      <w:rFonts w:ascii="Courier New" w:eastAsia="Times New Roman" w:hAnsi="Courier New" w:cs="Courier New"/>
      <w:sz w:val="20"/>
      <w:szCs w:val="20"/>
    </w:rPr>
  </w:style>
  <w:style w:type="table" w:styleId="TableGrid">
    <w:name w:val="Table Grid"/>
    <w:basedOn w:val="TableNormal"/>
    <w:uiPriority w:val="39"/>
    <w:rsid w:val="002C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9</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OGS</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Poggi</dc:creator>
  <cp:keywords/>
  <dc:description/>
  <cp:lastModifiedBy>Valerio Poggi</cp:lastModifiedBy>
  <cp:revision>400</cp:revision>
  <dcterms:created xsi:type="dcterms:W3CDTF">2020-01-20T11:28:00Z</dcterms:created>
  <dcterms:modified xsi:type="dcterms:W3CDTF">2020-02-21T11:34:00Z</dcterms:modified>
</cp:coreProperties>
</file>